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AEON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Timothy P. Lynch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6,500,000.00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reported herein exclude prefunded warrants to purchase 1,000,000 shares of Class A Common Stock and milestone warrants to purchase 6,000,000 shares of Class A Common Stock. Those warrants may not be exercised to the extent that, after giving effect to such exercise, the reporting person would beneficially own more than 4.99% of the outstanding shares of Class A Common Stock. As a result, the reporting person cannot currently exercise any of the warrants. The percentages reported in this Schedule 13G are based on 49,882,790 shares of Class A Common Stock outstanding as of August 6, 2026, as reported in the Form 10-Q filed by the Issuer for the quarter ended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AEON Biopharma,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 VANTIS DRIVE, SUITE 170, ALISO VIEJO, CA, 92656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Timothy P. Lynch</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70 SW Century Dr, STE 100 PMB 1257 Bend, OR 97702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6,500,000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6,500,000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6,500,000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Timothy P. Lynch</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Timothy P. Lynch</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Reporting person</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834</Words>
  <Characters>4249</Characters>
  <CharactersWithSpaces>5074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