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before="0" w:after="0"/>
        <w:ind w:left="0" w:right="0" w:hanging="0"/>
        <w:jc w:val="center"/>
        <w:rPr>
          <w:bdr w:val="single" w:sz="24" w:space="1" w:color="000000"/>
        </w:rPr>
      </w:pPr>
      <w:bookmarkStart w:id="0" w:name="aeon-20260514x8k.htm"/>
      <w:bookmarkStart w:id="1" w:name="ksaeon20260514x8k"/>
      <w:bookmarkEnd w:id="0"/>
      <w:bookmarkEnd w:id="1"/>
      <w:r>
        <w:rPr>
          <w:bdr w:val="single" w:sz="24" w:space="1" w:color="000000"/>
        </w:rPr>
        <w:t>​</w:t>
      </w:r>
    </w:p>
    <w:p>
      <w:pPr>
        <w:pStyle w:val="TextBody"/>
        <w:bidi w:val="0"/>
        <w:spacing w:before="0" w:after="0"/>
        <w:ind w:left="0" w:right="0" w:hanging="0"/>
        <w:jc w:val="center"/>
        <w:rPr>
          <w:rFonts w:ascii="Times New Roman;Times;serif" w:hAnsi="Times New Roman;Times;serif"/>
          <w:b/>
          <w:sz w:val="36"/>
        </w:rPr>
      </w:pPr>
      <w:bookmarkStart w:id="2" w:name="_23a9688d_44ce_4b74_a5cc_89526ba57459"/>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Date of Report (Date of earliest event reported): May 14,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AEON Biopharma,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My3h9256vU-8eXXkIhYzUA_2_4"/>
      <w:bookmarkStart w:id="4" w:name="Tc_V8bqGgFu9kGt92uGxMZtuA_2_2"/>
      <w:bookmarkStart w:id="5" w:name="Tc_W9GZQzM2RUKO7Cnzj87kmQ_2_0"/>
      <w:bookmarkStart w:id="6" w:name="_a3df5546_1afe_49c6_8b45_dda32ca530b0"/>
      <w:bookmarkStart w:id="7" w:name="Tc_My3h9256vU-8eXXkIhYzUA_2_4"/>
      <w:bookmarkStart w:id="8" w:name="Tc_V8bqGgFu9kGt92uGxMZtuA_2_2"/>
      <w:bookmarkStart w:id="9" w:name="Tc_W9GZQzM2RUKO7Cnzj87kmQ_2_0"/>
      <w:bookmarkStart w:id="10" w:name="_a3df5546_1afe_49c6_8b45_dda32ca530b0"/>
      <w:bookmarkEnd w:id="7"/>
      <w:bookmarkEnd w:id="8"/>
      <w:bookmarkEnd w:id="9"/>
      <w:bookmarkEnd w:id="10"/>
    </w:p>
    <w:tbl>
      <w:tblPr>
        <w:tblW w:w="5645" w:type="dxa"/>
        <w:jc w:val="left"/>
        <w:tblInd w:w="0" w:type="dxa"/>
        <w:tblLayout w:type="fixed"/>
        <w:tblCellMar>
          <w:top w:w="0" w:type="dxa"/>
          <w:left w:w="0" w:type="dxa"/>
          <w:bottom w:w="0" w:type="dxa"/>
          <w:right w:w="0" w:type="dxa"/>
        </w:tblCellMar>
      </w:tblPr>
      <w:tblGrid>
        <w:gridCol w:w="2071"/>
        <w:gridCol w:w="346"/>
        <w:gridCol w:w="1066"/>
        <w:gridCol w:w="346"/>
        <w:gridCol w:w="181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29210"/>
                      <wp:effectExtent l="0" t="0" r="0" b="0"/>
                      <wp:wrapNone/>
                      <wp:docPr id="1" name="Frame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001-40021</w:t>
            </w:r>
          </w:p>
        </w:tc>
        <w:tc>
          <w:tcPr>
            <w:tcW w:w="346" w:type="dxa"/>
            <w:tcBorders/>
            <w:vAlign w:val="center"/>
          </w:tcPr>
          <w:p>
            <w:pPr>
              <w:pStyle w:val="TableContents"/>
              <w:bidi w:val="0"/>
              <w:spacing w:before="0" w:after="0"/>
              <w:ind w:left="0" w:right="0" w:hanging="0"/>
              <w:jc w:val="left"/>
              <w:rPr/>
            </w:pPr>
            <w:r>
              <w:rPr/>
              <w:t>  ​ ​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85-3940478</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3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 Park Plaza</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1750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Irvine, CA</w:t>
      </w:r>
      <w:r>
        <w:rPr>
          <w:rFonts w:ascii="Times New Roman;Times;serif" w:hAnsi="Times New Roman;Times;serif"/>
          <w:sz w:val="20"/>
        </w:rPr>
        <w:t xml:space="preserve"> </w:t>
      </w:r>
      <w:r>
        <w:rPr>
          <w:rFonts w:ascii="Times New Roman;Times;serif" w:hAnsi="Times New Roman;Times;serif"/>
          <w:b/>
          <w:sz w:val="16"/>
        </w:rPr>
        <w:t>92614</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including Zip Code)</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(949) 354-6499</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w:t>
      </w:r>
    </w:p>
    <w:tbl>
      <w:tblPr>
        <w:tblW w:w="6801" w:type="dxa"/>
        <w:jc w:val="left"/>
        <w:tblInd w:w="0" w:type="dxa"/>
        <w:tblLayout w:type="fixed"/>
        <w:tblCellMar>
          <w:top w:w="0" w:type="dxa"/>
          <w:left w:w="0" w:type="dxa"/>
          <w:bottom w:w="0" w:type="dxa"/>
          <w:right w:w="0" w:type="dxa"/>
        </w:tblCellMar>
      </w:tblPr>
      <w:tblGrid>
        <w:gridCol w:w="124"/>
        <w:gridCol w:w="31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36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bl>
    <w:tbl>
      <w:tblPr>
        <w:tblW w:w="6846" w:type="dxa"/>
        <w:jc w:val="left"/>
        <w:tblInd w:w="0" w:type="dxa"/>
        <w:tblLayout w:type="fixed"/>
        <w:tblCellMar>
          <w:top w:w="0" w:type="dxa"/>
          <w:left w:w="0" w:type="dxa"/>
          <w:bottom w:w="0" w:type="dxa"/>
          <w:right w:w="0" w:type="dxa"/>
        </w:tblCellMar>
      </w:tblPr>
      <w:tblGrid>
        <w:gridCol w:w="124"/>
        <w:gridCol w:w="31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40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bl>
    <w:tbl>
      <w:tblPr>
        <w:tblW w:w="8421" w:type="dxa"/>
        <w:jc w:val="left"/>
        <w:tblInd w:w="0" w:type="dxa"/>
        <w:tblLayout w:type="fixed"/>
        <w:tblCellMar>
          <w:top w:w="0" w:type="dxa"/>
          <w:left w:w="0" w:type="dxa"/>
          <w:bottom w:w="0" w:type="dxa"/>
          <w:right w:w="0" w:type="dxa"/>
        </w:tblCellMar>
      </w:tblPr>
      <w:tblGrid>
        <w:gridCol w:w="124"/>
        <w:gridCol w:w="31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98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bl>
    <w:tbl>
      <w:tblPr>
        <w:tblW w:w="8361" w:type="dxa"/>
        <w:jc w:val="left"/>
        <w:tblInd w:w="0" w:type="dxa"/>
        <w:tblLayout w:type="fixed"/>
        <w:tblCellMar>
          <w:top w:w="0" w:type="dxa"/>
          <w:left w:w="0" w:type="dxa"/>
          <w:bottom w:w="0" w:type="dxa"/>
          <w:right w:w="0" w:type="dxa"/>
        </w:tblCellMar>
      </w:tblPr>
      <w:tblGrid>
        <w:gridCol w:w="124"/>
        <w:gridCol w:w="31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00"/>
              <w:jc w:val="left"/>
              <w:rPr/>
            </w:pPr>
            <w:r>
              <w:rPr/>
              <w:t>☐</w:t>
            </w:r>
          </w:p>
        </w:tc>
        <w:tc>
          <w:tcPr>
            <w:tcW w:w="7921" w:type="dxa"/>
            <w:tcBorders/>
            <w:vAlign w:val="center"/>
          </w:tcPr>
          <w:p>
            <w:pPr>
              <w:pStyle w:val="TableContents"/>
              <w:bidi w:val="0"/>
              <w:spacing w:before="0" w:after="200"/>
              <w:jc w:val="left"/>
              <w:rPr>
                <w:rFonts w:ascii="Times New Roman;Times;serif" w:hAnsi="Times New Roman;Times;serif"/>
                <w:sz w:val="16"/>
              </w:rPr>
            </w:pPr>
            <w:r>
              <w:rPr>
                <w:rFonts w:ascii="Times New Roman;Times;serif" w:hAnsi="Times New Roman;Times;serif"/>
                <w:sz w:val="16"/>
              </w:rPr>
              <w:t>Pre-commencement communications pursuant to Rule 13e-4(c) under the Exchange Act (17 CFR 240.13e-4(c))</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u2zDD-cAUUqXJvu83_yWWw_1_4"/>
      <w:bookmarkStart w:id="12" w:name="Tc_sWyZseM5a0uAvqNywElRXg_1_2"/>
      <w:bookmarkStart w:id="13" w:name="Tc_k_FkDUkDqUyHxLxuVdNP2A_1_0"/>
      <w:bookmarkStart w:id="14" w:name="_e9e601d6_be32_4696_b167_2f5795049325"/>
      <w:bookmarkStart w:id="15" w:name="Tc_u2zDD-cAUUqXJvu83_yWWw_1_4"/>
      <w:bookmarkStart w:id="16" w:name="Tc_sWyZseM5a0uAvqNywElRXg_1_2"/>
      <w:bookmarkStart w:id="17" w:name="Tc_k_FkDUkDqUyHxLxuVdNP2A_1_0"/>
      <w:bookmarkStart w:id="18" w:name="_e9e601d6_be32_4696_b167_2f5795049325"/>
      <w:bookmarkEnd w:id="15"/>
      <w:bookmarkEnd w:id="16"/>
      <w:bookmarkEnd w:id="17"/>
      <w:bookmarkEnd w:id="18"/>
    </w:p>
    <w:tbl>
      <w:tblPr>
        <w:tblW w:w="9080" w:type="dxa"/>
        <w:jc w:val="left"/>
        <w:tblInd w:w="0" w:type="dxa"/>
        <w:tblLayout w:type="fixed"/>
        <w:tblCellMar>
          <w:top w:w="0" w:type="dxa"/>
          <w:left w:w="0" w:type="dxa"/>
          <w:bottom w:w="0" w:type="dxa"/>
          <w:right w:w="0" w:type="dxa"/>
        </w:tblCellMar>
      </w:tblPr>
      <w:tblGrid>
        <w:gridCol w:w="3796"/>
        <w:gridCol w:w="346"/>
        <w:gridCol w:w="1276"/>
        <w:gridCol w:w="346"/>
        <w:gridCol w:w="3316"/>
      </w:tblGrid>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before="0" w:after="0"/>
              <w:ind w:left="0" w:right="0" w:hanging="0"/>
              <w:jc w:val="center"/>
              <w:rPr/>
            </w:pPr>
            <w:r>
              <w:rPr/>
              <w:t>  ​ ​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46" w:type="dxa"/>
            <w:tcBorders/>
            <w:vAlign w:val="center"/>
          </w:tcPr>
          <w:p>
            <w:pPr>
              <w:pStyle w:val="TableContents"/>
              <w:bidi w:val="0"/>
              <w:spacing w:before="0" w:after="0"/>
              <w:ind w:left="0" w:right="0" w:hanging="0"/>
              <w:jc w:val="center"/>
              <w:rPr/>
            </w:pPr>
            <w:r>
              <w:rPr/>
              <w:t>  ​ ​ ​</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7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 $0.0001 par value per share</w:t>
            </w:r>
          </w:p>
        </w:tc>
        <w:tc>
          <w:tcPr>
            <w:tcW w:w="346" w:type="dxa"/>
            <w:tcBorders/>
            <w:vAlign w:val="center"/>
          </w:tcPr>
          <w:p>
            <w:pPr>
              <w:pStyle w:val="TableContents"/>
              <w:bidi w:val="0"/>
              <w:spacing w:before="0" w:after="240"/>
              <w:ind w:left="0" w:right="0" w:hanging="0"/>
              <w:jc w:val="center"/>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AEON</w:t>
            </w:r>
          </w:p>
        </w:tc>
        <w:tc>
          <w:tcPr>
            <w:tcW w:w="346" w:type="dxa"/>
            <w:tcBorders/>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00"/>
        <w:ind w:left="0" w:right="0" w:hanging="0"/>
        <w:jc w:val="right"/>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9" w:name="_89d5141f_0206_453b_ba22_526a4c5f5521"/>
      <w:bookmarkEnd w:id="19"/>
      <w:r>
        <w:rPr>
          <w:rFonts w:ascii="Times New Roman;Times;serif" w:hAnsi="Times New Roman;Times;serif"/>
          <w:b/>
          <w:sz w:val="20"/>
        </w:rPr>
        <w:t>Item 2.02. Results of Operations and Financial Condition.</w:t>
      </w:r>
    </w:p>
    <w:p>
      <w:pPr>
        <w:pStyle w:val="TextBody"/>
        <w:bidi w:val="0"/>
        <w:spacing w:before="0" w:after="24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14, 2026, AEON Biopharma, Inc. (the “Company” or “AEON”) announced financial results for the first quarter ended March 31, 2026. The full text of the press release issued in connection with the announcement is furnished as Exhibit 99.1 to this Current Report on Form 8-K (this “Report”).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furnished in this Item 2.02 of this Report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unless expressly incorporated by specific reference in such a filing.</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 w:name="_7a5ab366_6ca1_410a_981d_171c8ac9eef9"/>
      <w:bookmarkEnd w:id="20"/>
      <w:r>
        <w:rPr>
          <w:rFonts w:ascii="Times New Roman;Times;serif" w:hAnsi="Times New Roman;Times;serif"/>
          <w:b/>
          <w:sz w:val="20"/>
        </w:rPr>
        <w:t>Item 9.01. Financial Statement and Exhibits.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21" w:name="_eccf3bb5_5829_41df_bb3b_f8b44b9d8ac1"/>
      <w:bookmarkEnd w:id="21"/>
      <w:r>
        <w:rPr/>
        <w:t>​</w:t>
      </w:r>
    </w:p>
    <w:tbl>
      <w:tblPr>
        <w:tblW w:w="8171" w:type="dxa"/>
        <w:jc w:val="left"/>
        <w:tblInd w:w="0" w:type="dxa"/>
        <w:tblLayout w:type="fixed"/>
        <w:tblCellMar>
          <w:top w:w="0" w:type="dxa"/>
          <w:left w:w="0" w:type="dxa"/>
          <w:bottom w:w="0" w:type="dxa"/>
          <w:right w:w="0" w:type="dxa"/>
        </w:tblCellMar>
      </w:tblPr>
      <w:tblGrid>
        <w:gridCol w:w="752"/>
        <w:gridCol w:w="328"/>
        <w:gridCol w:w="55"/>
        <w:gridCol w:w="109"/>
        <w:gridCol w:w="109"/>
        <w:gridCol w:w="109"/>
        <w:gridCol w:w="109"/>
        <w:gridCol w:w="1928"/>
        <w:gridCol w:w="1928"/>
        <w:gridCol w:w="2744"/>
      </w:tblGrid>
      <w:tr>
        <w:trPr/>
        <w:tc>
          <w:tcPr>
            <w:tcW w:w="752" w:type="dxa"/>
            <w:tcBorders/>
            <w:vAlign w:val="center"/>
          </w:tcPr>
          <w:p>
            <w:pPr>
              <w:pStyle w:val="TableContents"/>
              <w:bidi w:val="0"/>
              <w:spacing w:before="0" w:after="283"/>
              <w:ind w:left="0" w:right="0" w:hanging="0"/>
              <w:jc w:val="left"/>
              <w:rPr>
                <w:sz w:val="4"/>
                <w:szCs w:val="4"/>
              </w:rPr>
            </w:pPr>
            <w:r>
              <w:rPr>
                <w:sz w:val="4"/>
                <w:szCs w:val="4"/>
              </w:rPr>
            </w:r>
          </w:p>
        </w:tc>
        <w:tc>
          <w:tcPr>
            <w:tcW w:w="383"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28" w:type="dxa"/>
            <w:tcBorders/>
            <w:vAlign w:val="center"/>
          </w:tcPr>
          <w:p>
            <w:pPr>
              <w:pStyle w:val="TableContents"/>
              <w:bidi w:val="0"/>
              <w:spacing w:before="0" w:after="283"/>
              <w:ind w:left="0" w:right="0" w:hanging="0"/>
              <w:jc w:val="left"/>
              <w:rPr>
                <w:sz w:val="4"/>
                <w:szCs w:val="4"/>
              </w:rPr>
            </w:pPr>
            <w:r>
              <w:rPr>
                <w:sz w:val="4"/>
                <w:szCs w:val="4"/>
              </w:rPr>
            </w:r>
          </w:p>
        </w:tc>
        <w:tc>
          <w:tcPr>
            <w:tcW w:w="1928" w:type="dxa"/>
            <w:tcBorders/>
            <w:vAlign w:val="center"/>
          </w:tcPr>
          <w:p>
            <w:pPr>
              <w:pStyle w:val="TableContents"/>
              <w:bidi w:val="0"/>
              <w:spacing w:before="0" w:after="283"/>
              <w:ind w:left="0" w:right="0" w:hanging="0"/>
              <w:jc w:val="left"/>
              <w:rPr>
                <w:sz w:val="4"/>
                <w:szCs w:val="4"/>
              </w:rPr>
            </w:pPr>
            <w:r>
              <w:rPr>
                <w:sz w:val="4"/>
                <w:szCs w:val="4"/>
              </w:rPr>
            </w:r>
          </w:p>
        </w:tc>
        <w:tc>
          <w:tcPr>
            <w:tcW w:w="2744" w:type="dxa"/>
            <w:tcBorders/>
            <w:vAlign w:val="center"/>
          </w:tcPr>
          <w:p>
            <w:pPr>
              <w:pStyle w:val="TableContents"/>
              <w:bidi w:val="0"/>
              <w:spacing w:before="0" w:after="283"/>
              <w:ind w:left="0" w:right="0" w:hanging="0"/>
              <w:jc w:val="left"/>
              <w:rPr>
                <w:sz w:val="4"/>
                <w:szCs w:val="4"/>
              </w:rPr>
            </w:pPr>
            <w:r>
              <w:rPr>
                <w:sz w:val="4"/>
                <w:szCs w:val="4"/>
              </w:rPr>
            </w:r>
          </w:p>
        </w:tc>
      </w:tr>
      <w:tr>
        <w:trPr/>
        <w:tc>
          <w:tcPr>
            <w:tcW w:w="752" w:type="dxa"/>
            <w:tcBorders/>
            <w:vAlign w:val="center"/>
          </w:tcPr>
          <w:p>
            <w:pPr>
              <w:pStyle w:val="TableContents"/>
              <w:bidi w:val="0"/>
              <w:spacing w:before="0" w:after="283"/>
              <w:ind w:left="0" w:right="0" w:hanging="0"/>
              <w:jc w:val="left"/>
              <w:rPr>
                <w:sz w:val="4"/>
                <w:szCs w:val="4"/>
              </w:rPr>
            </w:pPr>
            <w:r>
              <w:rPr>
                <w:sz w:val="4"/>
                <w:szCs w:val="4"/>
              </w:rPr>
            </w:r>
          </w:p>
        </w:tc>
        <w:tc>
          <w:tcPr>
            <w:tcW w:w="383"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28" w:type="dxa"/>
            <w:tcBorders/>
            <w:vAlign w:val="center"/>
          </w:tcPr>
          <w:p>
            <w:pPr>
              <w:pStyle w:val="TableContents"/>
              <w:bidi w:val="0"/>
              <w:spacing w:before="0" w:after="283"/>
              <w:ind w:left="0" w:right="0" w:hanging="0"/>
              <w:jc w:val="left"/>
              <w:rPr>
                <w:sz w:val="4"/>
                <w:szCs w:val="4"/>
              </w:rPr>
            </w:pPr>
            <w:r>
              <w:rPr>
                <w:sz w:val="4"/>
                <w:szCs w:val="4"/>
              </w:rPr>
            </w:r>
          </w:p>
        </w:tc>
        <w:tc>
          <w:tcPr>
            <w:tcW w:w="1928" w:type="dxa"/>
            <w:tcBorders/>
            <w:vAlign w:val="center"/>
          </w:tcPr>
          <w:p>
            <w:pPr>
              <w:pStyle w:val="TableContents"/>
              <w:bidi w:val="0"/>
              <w:spacing w:before="0" w:after="283"/>
              <w:ind w:left="0" w:right="0" w:hanging="0"/>
              <w:jc w:val="left"/>
              <w:rPr>
                <w:sz w:val="4"/>
                <w:szCs w:val="4"/>
              </w:rPr>
            </w:pPr>
            <w:r>
              <w:rPr>
                <w:sz w:val="4"/>
                <w:szCs w:val="4"/>
              </w:rPr>
            </w:r>
          </w:p>
        </w:tc>
        <w:tc>
          <w:tcPr>
            <w:tcW w:w="2744" w:type="dxa"/>
            <w:tcBorders/>
            <w:vAlign w:val="center"/>
          </w:tcPr>
          <w:p>
            <w:pPr>
              <w:pStyle w:val="TableContents"/>
              <w:bidi w:val="0"/>
              <w:spacing w:before="0" w:after="283"/>
              <w:ind w:left="0" w:right="0" w:hanging="0"/>
              <w:jc w:val="left"/>
              <w:rPr>
                <w:sz w:val="4"/>
                <w:szCs w:val="4"/>
              </w:rPr>
            </w:pPr>
            <w:r>
              <w:rPr>
                <w:sz w:val="4"/>
                <w:szCs w:val="4"/>
              </w:rPr>
            </w:r>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491" w:type="dxa"/>
            <w:gridSpan w:val="5"/>
            <w:tcBorders/>
            <w:vAlign w:val="center"/>
          </w:tcPr>
          <w:p>
            <w:pPr>
              <w:pStyle w:val="TableContents"/>
              <w:bidi w:val="0"/>
              <w:spacing w:before="0" w:after="283"/>
              <w:ind w:left="0" w:right="0" w:hanging="0"/>
              <w:jc w:val="left"/>
              <w:rPr>
                <w:sz w:val="4"/>
                <w:szCs w:val="4"/>
              </w:rPr>
            </w:pPr>
            <w:r>
              <w:rPr>
                <w:sz w:val="4"/>
                <w:szCs w:val="4"/>
              </w:rPr>
            </w:r>
          </w:p>
        </w:tc>
        <w:tc>
          <w:tcPr>
            <w:tcW w:w="660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0" w:type="dxa"/>
            <w:gridSpan w:val="2"/>
            <w:tcBorders/>
            <w:vAlign w:val="center"/>
          </w:tcPr>
          <w:p>
            <w:pPr>
              <w:pStyle w:val="TableContents"/>
              <w:bidi w:val="0"/>
              <w:spacing w:before="0" w:after="0"/>
              <w:ind w:left="0" w:right="0" w:hanging="0"/>
              <w:jc w:val="center"/>
              <w:rPr/>
            </w:pPr>
            <w:r>
              <w:rPr/>
              <w:t>​</w:t>
            </w:r>
          </w:p>
        </w:tc>
        <w:tc>
          <w:tcPr>
            <w:tcW w:w="491" w:type="dxa"/>
            <w:gridSpan w:val="5"/>
            <w:tcBorders/>
            <w:vAlign w:val="center"/>
          </w:tcPr>
          <w:p>
            <w:pPr>
              <w:pStyle w:val="TableContents"/>
              <w:bidi w:val="0"/>
              <w:spacing w:before="0" w:after="0"/>
              <w:ind w:left="0" w:right="0" w:hanging="0"/>
              <w:jc w:val="left"/>
              <w:rPr/>
            </w:pPr>
            <w:r>
              <w:rPr/>
              <w:t>​</w:t>
            </w:r>
          </w:p>
        </w:tc>
        <w:tc>
          <w:tcPr>
            <w:tcW w:w="6600" w:type="dxa"/>
            <w:gridSpan w:val="3"/>
            <w:tcBorders/>
            <w:vAlign w:val="center"/>
          </w:tcPr>
          <w:p>
            <w:pPr>
              <w:pStyle w:val="TableContents"/>
              <w:bidi w:val="0"/>
              <w:spacing w:before="0" w:after="0"/>
              <w:ind w:left="0" w:right="0" w:hanging="0"/>
              <w:jc w:val="center"/>
              <w:rPr/>
            </w:pPr>
            <w:r>
              <w:rPr/>
              <w:t>​</w:t>
            </w:r>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491" w:type="dxa"/>
            <w:gridSpan w:val="5"/>
            <w:tcBorders/>
            <w:vAlign w:val="center"/>
          </w:tcPr>
          <w:p>
            <w:pPr>
              <w:pStyle w:val="TableContents"/>
              <w:bidi w:val="0"/>
              <w:spacing w:before="0" w:after="283"/>
              <w:ind w:left="0" w:right="0" w:hanging="0"/>
              <w:jc w:val="left"/>
              <w:rPr>
                <w:sz w:val="4"/>
                <w:szCs w:val="4"/>
              </w:rPr>
            </w:pPr>
            <w:r>
              <w:rPr>
                <w:sz w:val="4"/>
                <w:szCs w:val="4"/>
              </w:rPr>
            </w:r>
          </w:p>
        </w:tc>
        <w:tc>
          <w:tcPr>
            <w:tcW w:w="6600" w:type="dxa"/>
            <w:gridSpan w:val="3"/>
            <w:tcBorders/>
            <w:vAlign w:val="center"/>
          </w:tcPr>
          <w:p>
            <w:pPr>
              <w:pStyle w:val="TableContents"/>
              <w:bidi w:val="0"/>
              <w:spacing w:before="0" w:after="0"/>
              <w:ind w:left="0" w:right="0" w:hanging="0"/>
              <w:jc w:val="left"/>
              <w:rPr/>
            </w:pPr>
            <w:hyperlink w:anchor="aeon-20260514xex99d1.htm">
              <w:r>
                <w:rPr>
                  <w:rStyle w:val="InternetLink"/>
                  <w:rFonts w:ascii="Times New Roman;Times;serif" w:hAnsi="Times New Roman;Times;serif"/>
                  <w:b w:val="false"/>
                  <w:i w:val="false"/>
                  <w:caps w:val="false"/>
                  <w:smallCaps w:val="false"/>
                  <w:sz w:val="20"/>
                </w:rPr>
                <w:t>Press Release, dated May 14, 2026</w:t>
              </w:r>
            </w:hyperlink>
            <w:r>
              <w:rPr>
                <w:rFonts w:ascii="Times New Roman;Times;serif" w:hAnsi="Times New Roman;Times;serif"/>
                <w:sz w:val="20"/>
              </w:rPr>
              <w:t>.</w:t>
            </w:r>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491" w:type="dxa"/>
            <w:gridSpan w:val="5"/>
            <w:tcBorders/>
            <w:vAlign w:val="center"/>
          </w:tcPr>
          <w:p>
            <w:pPr>
              <w:pStyle w:val="TableContents"/>
              <w:bidi w:val="0"/>
              <w:spacing w:before="0" w:after="0"/>
              <w:ind w:left="0" w:right="0" w:hanging="0"/>
              <w:jc w:val="left"/>
              <w:rPr/>
            </w:pPr>
            <w:r>
              <w:rPr/>
              <w:t>​</w:t>
            </w:r>
          </w:p>
        </w:tc>
        <w:tc>
          <w:tcPr>
            <w:tcW w:w="660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2" w:name="_5f8a3c4c_c42c_42a9_85b3_03ac13642932"/>
      <w:bookmarkEnd w:id="22"/>
      <w:r>
        <w:rPr>
          <w:rFonts w:ascii="Times New Roman;Times;serif" w:hAnsi="Times New Roman;Times;serif"/>
          <w:b/>
          <w:sz w:val="20"/>
        </w:rPr>
        <w:t>SIGNATURE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5358" w:type="dxa"/>
        <w:jc w:val="left"/>
        <w:tblInd w:w="0" w:type="dxa"/>
        <w:tblLayout w:type="fixed"/>
        <w:tblCellMar>
          <w:top w:w="0" w:type="dxa"/>
          <w:left w:w="0" w:type="dxa"/>
          <w:bottom w:w="0" w:type="dxa"/>
          <w:right w:w="0" w:type="dxa"/>
        </w:tblCellMar>
      </w:tblPr>
      <w:tblGrid>
        <w:gridCol w:w="1741"/>
        <w:gridCol w:w="406"/>
        <w:gridCol w:w="3211"/>
      </w:tblGrid>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AEON Biopharma, Inc.</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Bancroft</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Bancroft</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ind w:left="0" w:right="0" w:hanging="0"/>
        <w:jc w:val="left"/>
        <w:rPr/>
      </w:pPr>
      <w:r>
        <w:rPr/>
        <w:t>​</w:t>
      </w:r>
    </w:p>
    <w:p>
      <w:pPr>
        <w:pStyle w:val="TextBody"/>
        <w:bidi w:val="0"/>
        <w:spacing w:lineRule="auto" w:line="285" w:before="0" w:after="240"/>
        <w:ind w:left="0" w:right="0" w:hanging="0"/>
        <w:jc w:val="right"/>
        <w:rPr>
          <w:rFonts w:ascii="Helvetica;sans-serif" w:hAnsi="Helvetica;sans-serif"/>
          <w:b/>
          <w:sz w:val="22"/>
        </w:rPr>
      </w:pPr>
      <w:bookmarkStart w:id="23" w:name="aeon-20260514xex99d1.htm"/>
      <w:bookmarkStart w:id="24" w:name="ksaeon20260514xex99d1"/>
      <w:bookmarkEnd w:id="23"/>
      <w:bookmarkEnd w:id="24"/>
      <w:r>
        <w:rPr>
          <w:rFonts w:ascii="Helvetica;sans-serif" w:hAnsi="Helvetica;sans-serif"/>
          <w:b/>
          <w:sz w:val="22"/>
        </w:rPr>
        <w:t>Exhibit 99.1</w:t>
      </w:r>
      <w:r>
        <mc:AlternateContent>
          <mc:Choice Requires="wps">
            <w:drawing>
              <wp:anchor behindDoc="0" distT="207010" distB="0" distL="352425" distR="114300" simplePos="0" locked="0" layoutInCell="1" allowOverlap="1" relativeHeight="7">
                <wp:simplePos x="0" y="0"/>
                <wp:positionH relativeFrom="column">
                  <wp:align>left</wp:align>
                </wp:positionH>
                <wp:positionV relativeFrom="line">
                  <wp:align>top</wp:align>
                </wp:positionV>
                <wp:extent cx="1258570" cy="306705"/>
                <wp:effectExtent l="0" t="0" r="0" b="0"/>
                <wp:wrapSquare wrapText="right"/>
                <wp:docPr id="3" name="Frame4"/>
                <a:graphic xmlns:a="http://schemas.openxmlformats.org/drawingml/2006/main">
                  <a:graphicData uri="http://schemas.microsoft.com/office/word/2010/wordprocessingShape">
                    <wps:wsp>
                      <wps:cNvSpPr txBox="1"/>
                      <wps:spPr>
                        <a:xfrm>
                          <a:off x="0" y="0"/>
                          <a:ext cx="1258570" cy="306705"/>
                        </a:xfrm>
                        <a:prstGeom prst="rect"/>
                        <a:solidFill>
                          <a:srgbClr val="FFFFFF"/>
                        </a:solidFill>
                      </wps:spPr>
                      <wps:txbx>
                        <w:txbxContent>
                          <w:p>
                            <w:pPr>
                              <w:pStyle w:val="TextBody"/>
                              <w:bidi w:val="0"/>
                              <w:spacing w:before="0" w:after="0"/>
                              <w:jc w:val="left"/>
                              <w:rPr/>
                            </w:pPr>
                            <w:r>
                              <w:rPr/>
                              <w:drawing>
                                <wp:inline distT="0" distB="0" distL="0" distR="0">
                                  <wp:extent cx="1258570" cy="30670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58570" cy="306705"/>
                                          </a:xfrm>
                                          <a:prstGeom prst="rect">
                                            <a:avLst/>
                                          </a:prstGeom>
                                        </pic:spPr>
                                      </pic:pic>
                                    </a:graphicData>
                                  </a:graphic>
                                </wp:inline>
                              </w:drawing>
                            </w:r>
                            <w:r>
                              <w:br w:type="page"/>
                            </w:r>
                          </w:p>
                        </w:txbxContent>
                      </wps:txbx>
                      <wps:bodyPr anchor="t" lIns="0" tIns="0" rIns="0" bIns="0">
                        <a:noAutofit/>
                      </wps:bodyPr>
                    </wps:wsp>
                  </a:graphicData>
                </a:graphic>
              </wp:anchor>
            </w:drawing>
          </mc:Choice>
          <mc:Fallback>
            <w:pict>
              <v:rect style="position:absolute;rotation:-0;width:99.1pt;height:24.15pt;mso-wrap-distance-left:27.75pt;mso-wrap-distance-right:9pt;mso-wrap-distance-top:16.3pt;mso-wrap-distance-bottom:0pt;margin-top:16.3pt;mso-position-vertical:top;mso-position-vertical-relative:text;margin-left:27.75pt;mso-position-horizontal:left;mso-position-horizontal-relative:text">
                <v:textbox>
                  <w:txbxContent>
                    <w:p>
                      <w:pPr>
                        <w:pStyle w:val="TextBody"/>
                        <w:bidi w:val="0"/>
                        <w:spacing w:before="0" w:after="0"/>
                        <w:jc w:val="left"/>
                        <w:rPr/>
                      </w:pPr>
                      <w:r>
                        <w:rPr/>
                        <w:drawing>
                          <wp:inline distT="0" distB="0" distL="0" distR="0">
                            <wp:extent cx="1258570" cy="30670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3"/>
                                    <a:stretch>
                                      <a:fillRect/>
                                    </a:stretch>
                                  </pic:blipFill>
                                  <pic:spPr bwMode="auto">
                                    <a:xfrm>
                                      <a:off x="0" y="0"/>
                                      <a:ext cx="1258570" cy="30670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4605" cy="207010"/>
                <wp:effectExtent l="0" t="0" r="0" b="0"/>
                <wp:wrapSquare wrapText="right"/>
                <wp:docPr id="6" name="Frame3"/>
                <a:graphic xmlns:a="http://schemas.openxmlformats.org/drawingml/2006/main">
                  <a:graphicData uri="http://schemas.microsoft.com/office/word/2010/wordprocessingShape">
                    <wps:wsp>
                      <wps:cNvSpPr txBox="1"/>
                      <wps:spPr>
                        <a:xfrm>
                          <a:off x="0" y="0"/>
                          <a:ext cx="14605" cy="20701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TextBody"/>
        <w:bidi w:val="0"/>
        <w:spacing w:lineRule="auto" w:line="285" w:before="0" w:after="240"/>
        <w:ind w:left="0" w:right="0" w:hanging="0"/>
        <w:jc w:val="left"/>
        <w:rPr>
          <w:rFonts w:ascii="Helvetica;sans-serif" w:hAnsi="Helvetica;sans-serif"/>
          <w:b/>
          <w:sz w:val="22"/>
        </w:rPr>
      </w:pPr>
      <w:r>
        <w:rPr>
          <w:rFonts w:ascii="Helvetica;sans-serif" w:hAnsi="Helvetica;sans-serif"/>
          <w:b/>
          <w:sz w:val="22"/>
        </w:rPr>
        <w:t>PRESS RELEASE</w:t>
      </w:r>
    </w:p>
    <w:p>
      <w:pPr>
        <w:pStyle w:val="TextBody"/>
        <w:bidi w:val="0"/>
        <w:spacing w:lineRule="auto" w:line="285" w:before="0" w:after="0"/>
        <w:ind w:left="0" w:right="0" w:hanging="0"/>
        <w:jc w:val="center"/>
        <w:rPr>
          <w:rFonts w:ascii="Helvetica;sans-serif" w:hAnsi="Helvetica;sans-serif"/>
          <w:b/>
          <w:sz w:val="24"/>
        </w:rPr>
      </w:pPr>
      <w:r>
        <w:rPr>
          <w:rFonts w:ascii="Helvetica;sans-serif" w:hAnsi="Helvetica;sans-serif"/>
          <w:b/>
          <w:sz w:val="24"/>
        </w:rPr>
        <w:t>AEON Biopharma Reports First Quarter 2026 Financial Results and Provides Corporate Update</w:t>
      </w:r>
    </w:p>
    <w:p>
      <w:pPr>
        <w:pStyle w:val="TextBody"/>
        <w:bidi w:val="0"/>
        <w:spacing w:lineRule="auto" w:line="285" w:before="280" w:after="0"/>
        <w:ind w:left="0" w:right="0" w:hanging="0"/>
        <w:jc w:val="center"/>
        <w:rPr>
          <w:rFonts w:ascii="Helvetica;sans-serif" w:hAnsi="Helvetica;sans-serif"/>
          <w:i/>
          <w:sz w:val="22"/>
        </w:rPr>
      </w:pPr>
      <w:r>
        <w:rPr>
          <w:rFonts w:ascii="Helvetica;sans-serif" w:hAnsi="Helvetica;sans-serif"/>
          <w:i/>
          <w:sz w:val="22"/>
        </w:rPr>
        <w:t>- Reported positive FDA Type 2a meeting supporting ABP-450’s comparative analytical strategy under the 351(k) regulatory pathway -</w:t>
      </w:r>
    </w:p>
    <w:p>
      <w:pPr>
        <w:pStyle w:val="TextBody"/>
        <w:bidi w:val="0"/>
        <w:spacing w:lineRule="auto" w:line="285" w:before="280" w:after="0"/>
        <w:ind w:left="0" w:right="0" w:hanging="0"/>
        <w:jc w:val="center"/>
        <w:rPr>
          <w:rFonts w:ascii="Times New Roman;Times;serif" w:hAnsi="Times New Roman;Times;serif"/>
          <w:sz w:val="22"/>
        </w:rPr>
      </w:pPr>
      <w:r>
        <w:rPr>
          <w:rFonts w:ascii="Helvetica;sans-serif" w:hAnsi="Helvetica;sans-serif"/>
          <w:i/>
          <w:sz w:val="22"/>
        </w:rPr>
        <w:t>- Strengthened balance sheet through financing transactions and Daewoong note exchange, reducing outstanding debt by more than 90%</w:t>
      </w:r>
      <w:r>
        <w:rPr>
          <w:rFonts w:ascii="Times New Roman;Times;serif" w:hAnsi="Times New Roman;Times;serif"/>
          <w:sz w:val="22"/>
        </w:rPr>
        <w:t xml:space="preserve"> </w:t>
      </w:r>
      <w:r>
        <w:rPr>
          <w:rFonts w:ascii="Helvetica;sans-serif" w:hAnsi="Helvetica;sans-serif"/>
          <w:i/>
          <w:sz w:val="22"/>
        </w:rPr>
        <w:t>-</w:t>
      </w:r>
    </w:p>
    <w:p>
      <w:pPr>
        <w:pStyle w:val="TextBody"/>
        <w:bidi w:val="0"/>
        <w:spacing w:lineRule="auto" w:line="285" w:before="280" w:after="0"/>
        <w:ind w:left="0" w:right="0" w:hanging="0"/>
        <w:jc w:val="center"/>
        <w:rPr>
          <w:rFonts w:ascii="Helvetica;sans-serif" w:hAnsi="Helvetica;sans-serif"/>
          <w:i/>
          <w:sz w:val="22"/>
        </w:rPr>
      </w:pPr>
      <w:r>
        <w:rPr>
          <w:rFonts w:ascii="Helvetica;sans-serif" w:hAnsi="Helvetica;sans-serif"/>
          <w:i/>
          <w:sz w:val="22"/>
        </w:rPr>
        <w:t>- Bolstered leadership team with appointment of John Bencich as Chief Financial Officer -</w:t>
      </w:r>
    </w:p>
    <w:p>
      <w:pPr>
        <w:pStyle w:val="TextBody"/>
        <w:bidi w:val="0"/>
        <w:spacing w:lineRule="auto" w:line="285" w:before="280" w:after="0"/>
        <w:ind w:left="0" w:right="0" w:hanging="0"/>
        <w:jc w:val="both"/>
        <w:rPr>
          <w:rFonts w:ascii="Times New Roman;Times;serif" w:hAnsi="Times New Roman;Times;serif"/>
          <w:sz w:val="22"/>
        </w:rPr>
      </w:pPr>
      <w:r>
        <w:rPr>
          <w:rFonts w:ascii="Helvetica;sans-serif" w:hAnsi="Helvetica;sans-serif"/>
          <w:b/>
          <w:sz w:val="22"/>
        </w:rPr>
        <w:t>IRVINE, Calif., May 14, 2026</w:t>
      </w:r>
      <w:r>
        <w:rPr>
          <w:rFonts w:ascii="Times New Roman;Times;serif" w:hAnsi="Times New Roman;Times;serif"/>
          <w:sz w:val="22"/>
        </w:rPr>
        <w:t xml:space="preserve"> – </w:t>
      </w:r>
      <w:r>
        <w:rPr>
          <w:rFonts w:ascii="Helvetica;sans-serif" w:hAnsi="Helvetica;sans-serif"/>
          <w:sz w:val="22"/>
        </w:rPr>
        <w:t xml:space="preserve">AEON Biopharma, Inc. (“AEON” or the “Company”) (NYSE American: AEON), a biopharmaceutical company advancing ABP-450 as a biosimilar to BOTOX® (onabotulinumtoxinA) for therapeutic use to achieve full-label U.S. market entry, reported today its financial results for the first quarter ended March 31, 2026, and provided a corporate update. </w:t>
      </w:r>
    </w:p>
    <w:p>
      <w:pPr>
        <w:pStyle w:val="TextBody"/>
        <w:bidi w:val="0"/>
        <w:spacing w:lineRule="auto" w:line="285" w:before="280" w:after="0"/>
        <w:ind w:left="0" w:right="0" w:hanging="0"/>
        <w:jc w:val="both"/>
        <w:rPr/>
      </w:pPr>
      <w:r>
        <w:rPr/>
        <w:t>“</w:t>
      </w:r>
      <w:r>
        <w:rPr>
          <w:rFonts w:ascii="Helvetica;sans-serif" w:hAnsi="Helvetica;sans-serif"/>
          <w:sz w:val="22"/>
        </w:rPr>
        <w:t xml:space="preserve">During the first quarter, we made meaningful progress advancing the ABP-450 development program and strengthening the company’s financial position,” commented Rob Bancroft, President and Chief Executive Officer of AEON. “We believe feedback from our BPD Type 2a meeting with the FDA supports our analytical similarity strategy under the 351(k) pathway and provides greater clarity on the path forward. In addition, the completion of our recent financing transactions, including the exchange of Daewoong-held notes, significantly reduced our outstanding debt.” </w:t>
      </w:r>
    </w:p>
    <w:p>
      <w:pPr>
        <w:pStyle w:val="TextBody"/>
        <w:bidi w:val="0"/>
        <w:spacing w:lineRule="auto" w:line="285" w:before="280" w:after="0"/>
        <w:ind w:left="0" w:right="0" w:hanging="0"/>
        <w:jc w:val="both"/>
        <w:rPr/>
      </w:pPr>
      <w:r>
        <w:rPr/>
        <w:t>“</w:t>
      </w:r>
      <w:r>
        <w:rPr>
          <w:rFonts w:ascii="Helvetica;sans-serif" w:hAnsi="Helvetica;sans-serif"/>
          <w:sz w:val="22"/>
        </w:rPr>
        <w:t>With this foundation in place, we are focused on executing our analytical program and preparing for our planned Type 2b interaction, where we will seek further feedback from the FDA on the full definition of program requirements. We believe this progress positions ABP-450 to advance efficiently toward potential full-label approval and our goal of introducing a new competitive dynamic in a large therapeutic category that has been long dominated by a single product.”</w:t>
      </w:r>
    </w:p>
    <w:p>
      <w:pPr>
        <w:pStyle w:val="TextBody"/>
        <w:bidi w:val="0"/>
        <w:spacing w:lineRule="auto" w:line="285" w:before="280" w:after="120"/>
        <w:ind w:left="0" w:right="0" w:hanging="0"/>
        <w:jc w:val="both"/>
        <w:rPr>
          <w:rFonts w:ascii="Helvetica;sans-serif" w:hAnsi="Helvetica;sans-serif"/>
          <w:b/>
          <w:sz w:val="22"/>
        </w:rPr>
      </w:pPr>
      <w:r>
        <w:rPr>
          <w:rFonts w:ascii="Helvetica;sans-serif" w:hAnsi="Helvetica;sans-serif"/>
          <w:b/>
          <w:sz w:val="22"/>
        </w:rPr>
        <w:t>First Quarter 2026 Highlights and Recent Developments</w:t>
      </w:r>
    </w:p>
    <w:p>
      <w:pPr>
        <w:pStyle w:val="TextBody"/>
        <w:bidi w:val="0"/>
        <w:spacing w:lineRule="auto" w:line="285" w:before="0" w:after="120"/>
        <w:ind w:left="360" w:right="0" w:hanging="0"/>
        <w:jc w:val="both"/>
        <w:rPr/>
      </w:pPr>
      <w:r>
        <w:rPr/>
        <w:t>●</w:t>
      </w:r>
      <w:r>
        <w:rPr>
          <w:rFonts w:ascii="Helvetica;sans-serif" w:hAnsi="Helvetica;sans-serif"/>
          <w:b/>
          <w:sz w:val="22"/>
        </w:rPr>
        <w:t xml:space="preserve">Reported Feedback from FDA BPD Type 2a Meeting Regarding ABP-450 </w:t>
      </w:r>
    </w:p>
    <w:p>
      <w:pPr>
        <w:pStyle w:val="TextBody"/>
        <w:bidi w:val="0"/>
        <w:spacing w:lineRule="auto" w:line="285" w:before="0" w:after="0"/>
        <w:ind w:left="1080" w:right="0" w:hanging="0"/>
        <w:jc w:val="both"/>
        <w:rPr>
          <w:rFonts w:ascii="Times New Roman;Times;serif" w:hAnsi="Times New Roman;Times;serif"/>
          <w:sz w:val="24"/>
        </w:rPr>
      </w:pPr>
      <w:r>
        <w:rPr>
          <w:rFonts w:ascii="Courier New" w:hAnsi="Courier New"/>
          <w:sz w:val="22"/>
        </w:rPr>
        <w:t>o</w:t>
      </w:r>
      <w:r>
        <w:rPr>
          <w:rFonts w:ascii="Helvetica;sans-serif" w:hAnsi="Helvetica;sans-serif"/>
          <w:sz w:val="22"/>
        </w:rPr>
        <w:t xml:space="preserve">The FDA reviewed AEON’s initial analytical comparability results and the proposed analytical similarity strategy for ABP-450 under the 351(k) biosimilar pathway and provided guidance that AEON’s analytical plan was considered reasonable by the Agency to support advancement of the program toward a comprehensive analytical similarity package. The Company believes the FDA’s feedback provides a clear framework for the remaining analytical components of its biosimilar development program and plans to complete the majority of its analytical comparability program in 2026. </w:t>
      </w:r>
    </w:p>
    <w:p>
      <w:pPr>
        <w:pStyle w:val="TextBody"/>
        <w:bidi w:val="0"/>
        <w:spacing w:lineRule="auto" w:line="285" w:before="0" w:after="0"/>
        <w:ind w:left="1080" w:right="0" w:hanging="0"/>
        <w:jc w:val="left"/>
        <w:rPr>
          <w:rFonts w:ascii="Helvetica;sans-serif" w:hAnsi="Helvetica;sans-serif"/>
          <w:sz w:val="22"/>
        </w:rPr>
      </w:pPr>
      <w:r>
        <w:rPr>
          <w:rFonts w:ascii="Courier New" w:hAnsi="Courier New"/>
          <w:sz w:val="22"/>
        </w:rPr>
        <w:t>o</w:t>
      </w:r>
      <w:r>
        <w:rPr>
          <w:rFonts w:ascii="Helvetica;sans-serif" w:hAnsi="Helvetica;sans-serif"/>
          <w:sz w:val="22"/>
        </w:rPr>
        <w:t xml:space="preserve">AEON currently plans to request a BPD Type 2b meeting in 2026 to discuss the next phase of the development program to support potential approval of ABP-450 as a biosimilar to BOTOX® across all approved therapeutic indications. </w:t>
      </w:r>
    </w:p>
    <w:p>
      <w:pPr>
        <w:pStyle w:val="TextBody"/>
        <w:bidi w:val="0"/>
        <w:spacing w:lineRule="auto" w:line="285" w:before="0" w:after="0"/>
        <w:ind w:left="360" w:right="0" w:hanging="0"/>
        <w:jc w:val="both"/>
        <w:rPr/>
      </w:pPr>
      <w:r>
        <w:rPr/>
        <w:t>●</w:t>
      </w:r>
      <w:r>
        <w:rPr>
          <w:rFonts w:ascii="Helvetica;sans-serif" w:hAnsi="Helvetica;sans-serif"/>
          <w:b/>
          <w:sz w:val="22"/>
        </w:rPr>
        <w:t>Strengthened Balance Sheet Through Closing of Strategic PIPE Financing and Note Exchange</w:t>
      </w:r>
    </w:p>
    <w:p>
      <w:pPr>
        <w:pStyle w:val="TextBody"/>
        <w:bidi w:val="0"/>
        <w:spacing w:lineRule="auto" w:line="285"/>
        <w:ind w:left="1080" w:right="0" w:hanging="0"/>
        <w:jc w:val="left"/>
        <w:rPr>
          <w:rFonts w:ascii="Helvetica;sans-serif" w:hAnsi="Helvetica;sans-serif"/>
          <w:sz w:val="22"/>
        </w:rPr>
      </w:pPr>
      <w:r>
        <w:rPr>
          <w:rFonts w:ascii="Courier New" w:hAnsi="Courier New"/>
          <w:sz w:val="22"/>
        </w:rPr>
        <w:t>o</w:t>
      </w:r>
      <w:r>
        <w:rPr>
          <w:rFonts w:ascii="Helvetica;sans-serif" w:hAnsi="Helvetica;sans-serif"/>
          <w:sz w:val="22"/>
        </w:rPr>
        <w:t xml:space="preserve">AEON held a special meeting at which shareholders voted to approve the completion of the complementary transactions announced in November, including the remaining issuances related to the Company’s private investment in public equity (“PIPE”) financing and the related exchange of the Company’s convertible notes held by Daewoong Pharmaceutical Co., Ltd. (“Daewoong”). The $6 million PIPE financing and Daewoong note exchange, together, strengthened AEON’s balance sheet and reduced outstanding debt by more than 90%. </w:t>
      </w:r>
    </w:p>
    <w:p>
      <w:pPr>
        <w:pStyle w:val="TextBody"/>
        <w:bidi w:val="0"/>
        <w:spacing w:lineRule="auto" w:line="285" w:before="100" w:after="100"/>
        <w:ind w:left="0" w:right="0" w:hanging="0"/>
        <w:jc w:val="both"/>
        <w:rPr/>
      </w:pPr>
      <w:r>
        <w:rPr/>
        <w:t>​</w:t>
      </w:r>
    </w:p>
    <w:p>
      <w:pPr>
        <w:pStyle w:val="TextBody"/>
        <w:bidi w:val="0"/>
        <w:spacing w:lineRule="auto" w:line="307" w:before="0" w:after="160"/>
        <w:ind w:left="0" w:right="0" w:hanging="0"/>
        <w:jc w:val="left"/>
        <w:rPr/>
      </w:pPr>
      <w:bookmarkStart w:id="25" w:name="TrailerStart"/>
      <w:bookmarkEnd w:id="25"/>
      <w:r>
        <w:rPr/>
        <w:t>​</w:t>
      </w:r>
      <w:r>
        <mc:AlternateContent>
          <mc:Choice Requires="wps">
            <w:drawing>
              <wp:anchor behindDoc="0" distT="0" distB="0" distL="0" distR="0" simplePos="0" locked="0" layoutInCell="1" allowOverlap="1" relativeHeight="15">
                <wp:simplePos x="0" y="0"/>
                <wp:positionH relativeFrom="page">
                  <wp:posOffset>0</wp:posOffset>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Helvetica;sans-serif" w:hAnsi="Helvetica;sans-serif"/>
          <w:b/>
          <w:sz w:val="22"/>
        </w:rPr>
      </w:pPr>
      <w:r>
        <w:rPr>
          <w:rFonts w:ascii="Helvetica;sans-serif" w:hAnsi="Helvetica;sans-serif"/>
          <w:b/>
          <w:sz w:val="22"/>
        </w:rPr>
        <w:t>Exhibit 99.1</w:t>
      </w:r>
      <w:r>
        <mc:AlternateContent>
          <mc:Choice Requires="wps">
            <w:drawing>
              <wp:anchor behindDoc="0" distT="207010" distB="0" distL="352425" distR="114300" simplePos="0" locked="0" layoutInCell="1" allowOverlap="1" relativeHeight="11">
                <wp:simplePos x="0" y="0"/>
                <wp:positionH relativeFrom="column">
                  <wp:align>left</wp:align>
                </wp:positionH>
                <wp:positionV relativeFrom="line">
                  <wp:align>top</wp:align>
                </wp:positionV>
                <wp:extent cx="1258570" cy="306705"/>
                <wp:effectExtent l="0" t="0" r="0" b="0"/>
                <wp:wrapSquare wrapText="right"/>
                <wp:docPr id="8" name="Frame7"/>
                <a:graphic xmlns:a="http://schemas.openxmlformats.org/drawingml/2006/main">
                  <a:graphicData uri="http://schemas.microsoft.com/office/word/2010/wordprocessingShape">
                    <wps:wsp>
                      <wps:cNvSpPr txBox="1"/>
                      <wps:spPr>
                        <a:xfrm>
                          <a:off x="0" y="0"/>
                          <a:ext cx="1258570" cy="306705"/>
                        </a:xfrm>
                        <a:prstGeom prst="rect"/>
                        <a:solidFill>
                          <a:srgbClr val="FFFFFF"/>
                        </a:solidFill>
                      </wps:spPr>
                      <wps:txbx>
                        <w:txbxContent>
                          <w:p>
                            <w:pPr>
                              <w:pStyle w:val="TextBody"/>
                              <w:bidi w:val="0"/>
                              <w:spacing w:before="0" w:after="0"/>
                              <w:jc w:val="left"/>
                              <w:rPr/>
                            </w:pPr>
                            <w:r>
                              <w:rPr/>
                              <w:drawing>
                                <wp:inline distT="0" distB="0" distL="0" distR="0">
                                  <wp:extent cx="1258570" cy="30670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4"/>
                                          <a:stretch>
                                            <a:fillRect/>
                                          </a:stretch>
                                        </pic:blipFill>
                                        <pic:spPr bwMode="auto">
                                          <a:xfrm>
                                            <a:off x="0" y="0"/>
                                            <a:ext cx="1258570" cy="3067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9.1pt;height:24.15pt;mso-wrap-distance-left:27.75pt;mso-wrap-distance-right:9pt;mso-wrap-distance-top:16.3pt;mso-wrap-distance-bottom:0pt;margin-top:16.3pt;mso-position-vertical:top;mso-position-vertical-relative:text;margin-left:27.75pt;mso-position-horizontal:left;mso-position-horizontal-relative:text">
                <v:textbox>
                  <w:txbxContent>
                    <w:p>
                      <w:pPr>
                        <w:pStyle w:val="TextBody"/>
                        <w:bidi w:val="0"/>
                        <w:spacing w:before="0" w:after="0"/>
                        <w:jc w:val="left"/>
                        <w:rPr/>
                      </w:pPr>
                      <w:r>
                        <w:rPr/>
                        <w:drawing>
                          <wp:inline distT="0" distB="0" distL="0" distR="0">
                            <wp:extent cx="1258570" cy="30670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5"/>
                                    <a:stretch>
                                      <a:fillRect/>
                                    </a:stretch>
                                  </pic:blipFill>
                                  <pic:spPr bwMode="auto">
                                    <a:xfrm>
                                      <a:off x="0" y="0"/>
                                      <a:ext cx="1258570" cy="30670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4605" cy="207010"/>
                <wp:effectExtent l="0" t="0" r="0" b="0"/>
                <wp:wrapSquare wrapText="right"/>
                <wp:docPr id="11" name="Frame6"/>
                <a:graphic xmlns:a="http://schemas.openxmlformats.org/drawingml/2006/main">
                  <a:graphicData uri="http://schemas.microsoft.com/office/word/2010/wordprocessingShape">
                    <wps:wsp>
                      <wps:cNvSpPr txBox="1"/>
                      <wps:spPr>
                        <a:xfrm>
                          <a:off x="0" y="0"/>
                          <a:ext cx="14605" cy="20701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TextBody"/>
        <w:bidi w:val="0"/>
        <w:spacing w:lineRule="auto" w:line="285" w:before="0" w:after="240"/>
        <w:ind w:left="0" w:right="0" w:hanging="0"/>
        <w:jc w:val="left"/>
        <w:rPr>
          <w:rFonts w:ascii="Helvetica;sans-serif" w:hAnsi="Helvetica;sans-serif"/>
          <w:b/>
          <w:sz w:val="22"/>
        </w:rPr>
      </w:pPr>
      <w:r>
        <w:rPr>
          <w:rFonts w:ascii="Helvetica;sans-serif" w:hAnsi="Helvetica;sans-serif"/>
          <w:b/>
          <w:sz w:val="22"/>
        </w:rPr>
        <w:t>PRESS RELEASE</w:t>
      </w:r>
    </w:p>
    <w:tbl>
      <w:tblPr>
        <w:tblW w:w="5568" w:type="dxa"/>
        <w:jc w:val="left"/>
        <w:tblInd w:w="0" w:type="dxa"/>
        <w:tblLayout w:type="fixed"/>
        <w:tblCellMar>
          <w:top w:w="0" w:type="dxa"/>
          <w:left w:w="0" w:type="dxa"/>
          <w:bottom w:w="0" w:type="dxa"/>
          <w:right w:w="0" w:type="dxa"/>
        </w:tblCellMar>
      </w:tblPr>
      <w:tblGrid>
        <w:gridCol w:w="23"/>
        <w:gridCol w:w="170"/>
        <w:gridCol w:w="53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 xml:space="preserve">Appointed John Bencich as Chief Financial Officer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 xml:space="preserve">Mr. Bencich joins AEON with more than 25 years of leadership experience spanning corporate strategy, capital market transactions, and business development across emerging growth and publicly traded companies.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 xml:space="preserve">Presented Data and Advanced Scientific Engagement Supporting Analytical Similarity to BOTOX®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Chad Oh, M.D., AEON’s Chief Medical Officer, presented a poster at the 2026 American Academy of Neurology (AAN) Annual Meeting in April entitled “</w:t>
            </w:r>
            <w:r>
              <w:rPr>
                <w:rFonts w:ascii="Helvetica;sans-serif" w:hAnsi="Helvetica;sans-serif"/>
                <w:b w:val="false"/>
                <w:i/>
                <w:sz w:val="22"/>
              </w:rPr>
              <w:t>Establishing Primary Structure Comparability Between ABP-450 (prabotulinumtoxinA) and OnabotulinumtoxinA (Botox®) to Support Biosimilarity.</w:t>
            </w:r>
            <w:r>
              <w:rPr>
                <w:caps w:val="false"/>
                <w:smallCaps w:val="false"/>
              </w:rPr>
              <w:t xml:space="preserve">” </w:t>
            </w:r>
            <w:r>
              <w:rPr>
                <w:rFonts w:ascii="Helvetica;sans-serif" w:hAnsi="Helvetica;sans-serif"/>
                <w:b w:val="false"/>
                <w:i w:val="false"/>
                <w:caps w:val="false"/>
                <w:smallCaps w:val="false"/>
                <w:sz w:val="22"/>
              </w:rPr>
              <w:t xml:space="preserve">The poster expanded upon analytical data previously reported by the Company demonstrating identical primary amino acid sequence between ABP-450 and the reference product, based on 93.5%–99.3% peptide sequence coverage.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An abstract was accepted for presentation at the upcoming American Headache Society (AHS) Annual Meeting on June 4-7, 2026 in Orlando, Florida entitled “</w:t>
            </w:r>
            <w:r>
              <w:rPr>
                <w:rFonts w:ascii="Helvetica;sans-serif" w:hAnsi="Helvetica;sans-serif"/>
                <w:b w:val="false"/>
                <w:i/>
                <w:sz w:val="22"/>
              </w:rPr>
              <w:t>Establishing Structural and Functional Comparability Between ABP-450 and OnabotulinumtoxinA to Support Biosimilarity</w:t>
            </w:r>
            <w:r>
              <w:rPr>
                <w:rFonts w:ascii="Helvetica;sans-serif" w:hAnsi="Helvetica;sans-serif"/>
                <w:b w:val="false"/>
                <w:i w:val="false"/>
                <w:caps w:val="false"/>
                <w:smallCaps w:val="false"/>
                <w:sz w:val="22"/>
              </w:rPr>
              <w:t xml:space="preserve">.” The abstract will be presented on June 4th between 2:00 pm and 5:00 pm ET. </w:t>
            </w:r>
          </w:p>
        </w:tc>
      </w:tr>
    </w:tbl>
    <w:p>
      <w:pPr>
        <w:pStyle w:val="TextBody"/>
        <w:bidi w:val="0"/>
        <w:spacing w:lineRule="auto" w:line="285" w:before="0" w:after="240"/>
        <w:ind w:left="0" w:right="0" w:hanging="0"/>
        <w:jc w:val="both"/>
        <w:rPr>
          <w:rFonts w:ascii="Helvetica;sans-serif" w:hAnsi="Helvetica;sans-serif"/>
          <w:b/>
          <w:sz w:val="22"/>
        </w:rPr>
      </w:pPr>
      <w:r>
        <w:rPr>
          <w:rFonts w:ascii="Helvetica;sans-serif" w:hAnsi="Helvetica;sans-serif"/>
          <w:b/>
          <w:sz w:val="22"/>
        </w:rPr>
        <w:t xml:space="preserve">Liquidity and Capital Resources </w:t>
      </w:r>
    </w:p>
    <w:p>
      <w:pPr>
        <w:pStyle w:val="TextBody"/>
        <w:bidi w:val="0"/>
        <w:spacing w:lineRule="auto" w:line="285" w:before="0" w:after="240"/>
        <w:ind w:left="0" w:right="0" w:hanging="0"/>
        <w:jc w:val="both"/>
        <w:rPr>
          <w:rFonts w:ascii="Helvetica;sans-serif" w:hAnsi="Helvetica;sans-serif"/>
          <w:sz w:val="22"/>
        </w:rPr>
      </w:pPr>
      <w:r>
        <w:rPr>
          <w:rFonts w:ascii="Helvetica;sans-serif" w:hAnsi="Helvetica;sans-serif"/>
          <w:sz w:val="22"/>
        </w:rPr>
        <w:t>The Company reported cash and cash equivalents of $6.2 million as of March 31, 2026, which does not include the $0.9 million of proceeds received upon ATM financing in April 2026. Including those proceeds, cash and cash equivalents are expected to fund operations into the third quarter of 2026, supporting continued advancement of the ABP-450 program including ongoing analytical and regulatory activities.</w:t>
      </w:r>
    </w:p>
    <w:p>
      <w:pPr>
        <w:pStyle w:val="TextBody"/>
        <w:bidi w:val="0"/>
        <w:spacing w:lineRule="auto" w:line="285" w:before="0" w:after="240"/>
        <w:ind w:left="0" w:right="0" w:hanging="0"/>
        <w:jc w:val="both"/>
        <w:rPr>
          <w:rFonts w:ascii="Helvetica;sans-serif" w:hAnsi="Helvetica;sans-serif"/>
          <w:b/>
          <w:sz w:val="22"/>
        </w:rPr>
      </w:pPr>
      <w:r>
        <w:rPr>
          <w:rFonts w:ascii="Helvetica;sans-serif" w:hAnsi="Helvetica;sans-serif"/>
          <w:b/>
          <w:sz w:val="22"/>
        </w:rPr>
        <w:t>Upcoming ABP-450 Development Milestones &amp; Scientific and/or Corporate Events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June 4th-7th, 2026: Poster presentation at the 68th Annual Scientific Meeting of the American Headache Society.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June 17th, 2026: Annual shareholder meeting being held at 10:00 AM PST in the Company’s offices at 5 Park Plaza, Suite 1750, Irvine, CA 92614.</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Second half 2026: BPD Type 2b meeting with the FDA to seek feedback on remaining biosimilar development plan, including pharmacodynamic and clinical program requirements.</w:t>
            </w:r>
          </w:p>
        </w:tc>
      </w:tr>
    </w:tbl>
    <w:p>
      <w:pPr>
        <w:pStyle w:val="TextBody"/>
        <w:bidi w:val="0"/>
        <w:spacing w:lineRule="auto" w:line="285" w:before="0" w:after="240"/>
        <w:ind w:left="0" w:right="0" w:hanging="0"/>
        <w:jc w:val="both"/>
        <w:rPr>
          <w:rFonts w:ascii="Helvetica;sans-serif" w:hAnsi="Helvetica;sans-serif"/>
          <w:b/>
          <w:sz w:val="22"/>
        </w:rPr>
      </w:pPr>
      <w:r>
        <w:rPr>
          <w:rFonts w:ascii="Helvetica;sans-serif" w:hAnsi="Helvetica;sans-serif"/>
          <w:b/>
          <w:sz w:val="22"/>
        </w:rPr>
        <w:t>About the U.S. Biosimilar Pathway</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Analytical similarity forms the scientific foundation of the 351(k) pathway and represents the most data-intensive phase of biosimilar development. When analytical comparability across critical quality attributes is robustly demonstrated, the FDA may reduce the scope of required clinical studies under its totality-of-the-evidence framework. Sponsors may also seek extrapolation to additional indications of the reference product when scientifically justified.</w:t>
      </w:r>
    </w:p>
    <w:p>
      <w:pPr>
        <w:pStyle w:val="TextBody"/>
        <w:bidi w:val="0"/>
        <w:spacing w:lineRule="auto" w:line="285" w:before="280" w:after="240"/>
        <w:ind w:left="0" w:right="0" w:hanging="0"/>
        <w:jc w:val="both"/>
        <w:rPr>
          <w:rFonts w:ascii="Times New Roman;Times;serif" w:hAnsi="Times New Roman;Times;serif"/>
          <w:sz w:val="22"/>
        </w:rPr>
      </w:pPr>
      <w:r>
        <w:rPr>
          <w:rFonts w:ascii="Helvetica;sans-serif" w:hAnsi="Helvetica;sans-serif"/>
          <w:b/>
          <w:sz w:val="22"/>
        </w:rPr>
        <w:t>About AEON Biopharma</w:t>
      </w:r>
      <w:r>
        <w:rPr>
          <w:rFonts w:ascii="Times New Roman;Times;serif" w:hAnsi="Times New Roman;Times;serif"/>
          <w:sz w:val="22"/>
        </w:rPr>
        <w:t xml:space="preserve"> </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AEON Biopharma is a biopharmaceutical company pursuing full-label access to the U.S. therapeutic neurotoxin market via biosimilarity to BOTOX</w:t>
      </w:r>
      <w:r>
        <w:rPr>
          <w:rFonts w:ascii="Symbol" w:hAnsi="Symbol"/>
          <w:sz w:val="17"/>
        </w:rPr>
        <w:t>Ò</w:t>
      </w:r>
      <w:r>
        <w:rPr>
          <w:rFonts w:ascii="Helvetica;sans-serif" w:hAnsi="Helvetica;sans-serif"/>
          <w:sz w:val="22"/>
        </w:rPr>
        <w:t>. The U.S. therapeutic neurotoxin market exceeds $3.0 billion annually, representing a major opportunity for biosimilar entry. ABP-450 is the same botulinum toxin complex currently approved and marketed for cosmetic indications by Evolus, Inc. under the name Jeuveau</w:t>
      </w:r>
      <w:r>
        <w:rPr>
          <w:rFonts w:ascii="Symbol" w:hAnsi="Symbol"/>
          <w:sz w:val="17"/>
        </w:rPr>
        <w:t>Ò</w:t>
      </w:r>
      <w:r>
        <w:rPr>
          <w:rFonts w:ascii="Helvetica;sans-serif" w:hAnsi="Helvetica;sans-serif"/>
          <w:sz w:val="22"/>
        </w:rPr>
        <w:t xml:space="preserve">. ABP-450 is manufactured by Daewoong Pharmaceutical in a facility that has been authorized by the U.S. Food and Drug Administration, Health Canada, and European Medicines Agency for the manufacture of third-party botulinum toxin products. AEON has exclusive development and distribution rights for therapeutic indications of ABP-450 in the United States, Canada, the European Union, the United Kingdom, and certain other international territories. To learn more about AEON, visit www.aeonbiopharma.com. </w:t>
      </w:r>
    </w:p>
    <w:p>
      <w:pPr>
        <w:pStyle w:val="TextBody"/>
        <w:bidi w:val="0"/>
        <w:spacing w:lineRule="auto" w:line="307" w:before="0" w:after="160"/>
        <w:ind w:left="0" w:right="0" w:hanging="0"/>
        <w:jc w:val="left"/>
        <w:rPr/>
      </w:pPr>
      <w:bookmarkStart w:id="26" w:name="TrailerStart1"/>
      <w:bookmarkEnd w:id="26"/>
      <w:r>
        <w:rPr/>
        <w:t>​</w:t>
      </w:r>
      <w:r>
        <mc:AlternateContent>
          <mc:Choice Requires="wps">
            <w:drawing>
              <wp:anchor behindDoc="0" distT="0" distB="0" distL="0" distR="0" simplePos="0" locked="0" layoutInCell="1" allowOverlap="1" relativeHeight="17">
                <wp:simplePos x="0" y="0"/>
                <wp:positionH relativeFrom="page">
                  <wp:posOffset>0</wp:posOffset>
                </wp:positionH>
                <wp:positionV relativeFrom="line">
                  <wp:posOffset>635</wp:posOffset>
                </wp:positionV>
                <wp:extent cx="6480175" cy="175260"/>
                <wp:effectExtent l="0" t="0" r="0" b="0"/>
                <wp:wrapNone/>
                <wp:docPr id="12"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Helvetica;sans-serif" w:hAnsi="Helvetica;sans-serif"/>
          <w:b/>
          <w:sz w:val="22"/>
        </w:rPr>
      </w:pPr>
      <w:r>
        <w:rPr>
          <w:rFonts w:ascii="Helvetica;sans-serif" w:hAnsi="Helvetica;sans-serif"/>
          <w:b/>
          <w:sz w:val="22"/>
        </w:rPr>
        <w:t>Exhibit 99.1</w:t>
      </w:r>
      <w:r>
        <mc:AlternateContent>
          <mc:Choice Requires="wps">
            <w:drawing>
              <wp:anchor behindDoc="0" distT="207010" distB="0" distL="352425" distR="114300" simplePos="0" locked="0" layoutInCell="1" allowOverlap="1" relativeHeight="9">
                <wp:simplePos x="0" y="0"/>
                <wp:positionH relativeFrom="column">
                  <wp:align>left</wp:align>
                </wp:positionH>
                <wp:positionV relativeFrom="line">
                  <wp:align>top</wp:align>
                </wp:positionV>
                <wp:extent cx="1258570" cy="306705"/>
                <wp:effectExtent l="0" t="0" r="0" b="0"/>
                <wp:wrapSquare wrapText="right"/>
                <wp:docPr id="13" name="Frame10"/>
                <a:graphic xmlns:a="http://schemas.openxmlformats.org/drawingml/2006/main">
                  <a:graphicData uri="http://schemas.microsoft.com/office/word/2010/wordprocessingShape">
                    <wps:wsp>
                      <wps:cNvSpPr txBox="1"/>
                      <wps:spPr>
                        <a:xfrm>
                          <a:off x="0" y="0"/>
                          <a:ext cx="1258570" cy="306705"/>
                        </a:xfrm>
                        <a:prstGeom prst="rect"/>
                        <a:solidFill>
                          <a:srgbClr val="FFFFFF"/>
                        </a:solidFill>
                      </wps:spPr>
                      <wps:txbx>
                        <w:txbxContent>
                          <w:p>
                            <w:pPr>
                              <w:pStyle w:val="TextBody"/>
                              <w:bidi w:val="0"/>
                              <w:spacing w:before="0" w:after="0"/>
                              <w:jc w:val="left"/>
                              <w:rPr/>
                            </w:pPr>
                            <w:r>
                              <w:rPr/>
                              <w:drawing>
                                <wp:inline distT="0" distB="0" distL="0" distR="0">
                                  <wp:extent cx="1258570" cy="306705"/>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6"/>
                                          <a:stretch>
                                            <a:fillRect/>
                                          </a:stretch>
                                        </pic:blipFill>
                                        <pic:spPr bwMode="auto">
                                          <a:xfrm>
                                            <a:off x="0" y="0"/>
                                            <a:ext cx="1258570" cy="3067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9.1pt;height:24.15pt;mso-wrap-distance-left:27.75pt;mso-wrap-distance-right:9pt;mso-wrap-distance-top:16.3pt;mso-wrap-distance-bottom:0pt;margin-top:16.3pt;mso-position-vertical:top;mso-position-vertical-relative:text;margin-left:27.75pt;mso-position-horizontal:left;mso-position-horizontal-relative:text">
                <v:textbox>
                  <w:txbxContent>
                    <w:p>
                      <w:pPr>
                        <w:pStyle w:val="TextBody"/>
                        <w:bidi w:val="0"/>
                        <w:spacing w:before="0" w:after="0"/>
                        <w:jc w:val="left"/>
                        <w:rPr/>
                      </w:pPr>
                      <w:r>
                        <w:rPr/>
                        <w:drawing>
                          <wp:inline distT="0" distB="0" distL="0" distR="0">
                            <wp:extent cx="1258570" cy="306705"/>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7"/>
                                    <a:stretch>
                                      <a:fillRect/>
                                    </a:stretch>
                                  </pic:blipFill>
                                  <pic:spPr bwMode="auto">
                                    <a:xfrm>
                                      <a:off x="0" y="0"/>
                                      <a:ext cx="1258570" cy="30670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14605" cy="207010"/>
                <wp:effectExtent l="0" t="0" r="0" b="0"/>
                <wp:wrapSquare wrapText="right"/>
                <wp:docPr id="16" name="Frame9"/>
                <a:graphic xmlns:a="http://schemas.openxmlformats.org/drawingml/2006/main">
                  <a:graphicData uri="http://schemas.microsoft.com/office/word/2010/wordprocessingShape">
                    <wps:wsp>
                      <wps:cNvSpPr txBox="1"/>
                      <wps:spPr>
                        <a:xfrm>
                          <a:off x="0" y="0"/>
                          <a:ext cx="14605" cy="20701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TextBody"/>
        <w:bidi w:val="0"/>
        <w:spacing w:lineRule="auto" w:line="285" w:before="0" w:after="240"/>
        <w:ind w:left="0" w:right="0" w:hanging="0"/>
        <w:jc w:val="left"/>
        <w:rPr>
          <w:rFonts w:ascii="Helvetica;sans-serif" w:hAnsi="Helvetica;sans-serif"/>
          <w:b/>
          <w:sz w:val="22"/>
        </w:rPr>
      </w:pPr>
      <w:r>
        <w:rPr>
          <w:rFonts w:ascii="Helvetica;sans-serif" w:hAnsi="Helvetica;sans-serif"/>
          <w:b/>
          <w:sz w:val="22"/>
        </w:rPr>
        <w:t>PRESS RELEASE</w:t>
      </w:r>
    </w:p>
    <w:p>
      <w:pPr>
        <w:pStyle w:val="TextBody"/>
        <w:bidi w:val="0"/>
        <w:spacing w:lineRule="auto" w:line="285" w:before="0" w:after="240"/>
        <w:ind w:left="0" w:right="0" w:hanging="0"/>
        <w:jc w:val="both"/>
        <w:rPr>
          <w:rFonts w:ascii="Times New Roman;Times;serif" w:hAnsi="Times New Roman;Times;serif"/>
          <w:sz w:val="22"/>
        </w:rPr>
      </w:pPr>
      <w:r>
        <w:rPr>
          <w:rFonts w:ascii="Helvetica;sans-serif" w:hAnsi="Helvetica;sans-serif"/>
          <w:b/>
          <w:sz w:val="22"/>
        </w:rPr>
        <w:t>Forward-Looking Statements</w:t>
      </w:r>
      <w:r>
        <w:rPr>
          <w:rFonts w:ascii="Times New Roman;Times;serif" w:hAnsi="Times New Roman;Times;serif"/>
          <w:sz w:val="22"/>
        </w:rPr>
        <w:t xml:space="preserve"> </w:t>
      </w:r>
    </w:p>
    <w:p>
      <w:pPr>
        <w:pStyle w:val="TextBody"/>
        <w:bidi w:val="0"/>
        <w:spacing w:lineRule="auto" w:line="285" w:before="0" w:after="0"/>
        <w:ind w:left="0" w:right="0" w:hanging="0"/>
        <w:jc w:val="both"/>
        <w:rPr>
          <w:rFonts w:ascii="Helvetica;sans-serif" w:hAnsi="Helvetica;sans-serif"/>
          <w:i/>
          <w:sz w:val="22"/>
        </w:rPr>
      </w:pPr>
      <w:r>
        <w:rPr>
          <w:rFonts w:ascii="Helvetica;sans-serif" w:hAnsi="Helvetica;sans-serif"/>
          <w:i/>
          <w:sz w:val="22"/>
        </w:rPr>
        <w:t>The foregoing material may contain “forward-looking statements” within the meaning of Section 27A of the Securities Act of 1933 and Section 21E of the Securities Exchange Act of 1934, each as amended. Forward-looking statements include all statements that do not relate solely to historical or current facts, including without limitation statements regarding the Company’s product development and business prospects, and can be identified by the use of words such as “may,” “will,” “expect,” “project,” “estimate,” “anticipate,” “plan,” “believe,” “potential,” “should,” “continue” or the negative versions of those words or other comparable words. Forward-looking statements are not guarantees of future actions or performance. These forward-looking statements are based on information currently available to the Company and its current plans or expectations and are subject to a number of risks and uncertainties that could significantly affect current plans. Should one or more of these risks or uncertainties materialize, or the underlying assumptions prove incorrect, actual results may differ significantly from those anticipated, believed, estimated, expected, intended, or planned. Although the Company believes that the expectations reflected in the forward-looking statements are reasonable, the Company cannot guarantee future results, performance, or achievements. Except as required by applicable law, including the securities laws of the United States, the Company does not intend to update any of the forward-looking statements to conform these statements to actual results.</w:t>
      </w:r>
    </w:p>
    <w:p>
      <w:pPr>
        <w:pStyle w:val="TextBody"/>
        <w:bidi w:val="0"/>
        <w:spacing w:lineRule="auto" w:line="285" w:before="280" w:after="0"/>
        <w:ind w:left="0" w:right="0" w:hanging="0"/>
        <w:jc w:val="both"/>
        <w:rPr>
          <w:rFonts w:ascii="Times New Roman;Times;serif" w:hAnsi="Times New Roman;Times;serif"/>
          <w:sz w:val="22"/>
        </w:rPr>
      </w:pPr>
      <w:r>
        <w:rPr>
          <w:rFonts w:ascii="Helvetica;sans-serif" w:hAnsi="Helvetica;sans-serif"/>
          <w:i/>
          <w:sz w:val="22"/>
        </w:rPr>
        <w:t>Factors that may cause actual results to differ materially from current expectations include, but are not limited to: (i) AEON’s ability to continue to meet continued stock exchange listing standards; (ii) the Company’s ability to obtain additional and sufficient financing; (iii) the Company’s anticipated financial performance, including cash and cash equivalents; (iv) the Company’s plans regarding any interactions with the FDA; (v) the outcome of any regulatory interactions; and (vi) other risks and uncertainties set forth in the section entitled “Risk Factors” and “Cautionary Note Regarding Forward-Looking Statements” in the Company’s filings with the SEC, which are available on the SEC’s website at www.sec.gov.</w:t>
      </w:r>
      <w:r>
        <w:rPr>
          <w:rFonts w:ascii="Times New Roman;Times;serif" w:hAnsi="Times New Roman;Times;serif"/>
          <w:sz w:val="22"/>
        </w:rPr>
        <w:t xml:space="preserve"> </w:t>
      </w:r>
    </w:p>
    <w:p>
      <w:pPr>
        <w:pStyle w:val="TextBody"/>
        <w:bidi w:val="0"/>
        <w:spacing w:lineRule="auto" w:line="307" w:before="280" w:after="160"/>
        <w:ind w:left="0" w:right="0" w:hanging="0"/>
        <w:jc w:val="left"/>
        <w:rPr>
          <w:rFonts w:ascii="Helvetica;sans-serif" w:hAnsi="Helvetica;sans-serif"/>
          <w:b/>
          <w:sz w:val="22"/>
        </w:rPr>
      </w:pPr>
      <w:r>
        <w:rPr>
          <w:rFonts w:ascii="Helvetica;sans-serif" w:hAnsi="Helvetica;sans-serif"/>
          <w:b/>
          <w:sz w:val="22"/>
        </w:rPr>
        <w:t xml:space="preserve">Contacts </w:t>
      </w:r>
    </w:p>
    <w:p>
      <w:pPr>
        <w:pStyle w:val="TextBody"/>
        <w:bidi w:val="0"/>
        <w:spacing w:lineRule="auto" w:line="285" w:before="280" w:after="0"/>
        <w:ind w:left="0" w:right="0" w:hanging="0"/>
        <w:jc w:val="left"/>
        <w:rPr>
          <w:rFonts w:ascii="Times New Roman;Times;serif" w:hAnsi="Times New Roman;Times;serif"/>
          <w:sz w:val="22"/>
        </w:rPr>
      </w:pPr>
      <w:r>
        <w:rPr>
          <w:rFonts w:ascii="Helvetica;sans-serif" w:hAnsi="Helvetica;sans-serif"/>
          <w:b/>
          <w:sz w:val="22"/>
        </w:rPr>
        <w:t xml:space="preserve">Investor Contact: </w:t>
      </w:r>
      <w:r>
        <w:rPr>
          <w:rFonts w:ascii="Helvetica;sans-serif" w:hAnsi="Helvetica;sans-serif"/>
          <w:sz w:val="22"/>
        </w:rPr>
        <w:br/>
        <w:t>Hershel Berry</w:t>
        <w:br/>
        <w:t>Blueprint Life Science Group</w:t>
        <w:br/>
        <w:t>hberry@Bplifescience.com</w:t>
      </w:r>
      <w:r>
        <w:rPr>
          <w:rFonts w:ascii="Times New Roman;Times;serif" w:hAnsi="Times New Roman;Times;serif"/>
          <w:sz w:val="22"/>
        </w:rPr>
        <w:t xml:space="preserve"> </w:t>
      </w:r>
    </w:p>
    <w:p>
      <w:pPr>
        <w:pStyle w:val="TextBody"/>
        <w:bidi w:val="0"/>
        <w:spacing w:lineRule="auto" w:line="285" w:before="280" w:after="0"/>
        <w:ind w:left="0" w:right="0" w:hanging="0"/>
        <w:jc w:val="left"/>
        <w:rPr>
          <w:rFonts w:ascii="Helvetica;sans-serif" w:hAnsi="Helvetica;sans-serif"/>
          <w:sz w:val="22"/>
        </w:rPr>
      </w:pPr>
      <w:r>
        <w:rPr>
          <w:rFonts w:ascii="Helvetica;sans-serif" w:hAnsi="Helvetica;sans-serif"/>
          <w:sz w:val="22"/>
        </w:rPr>
        <w:t>Source: AEON Biopharma</w:t>
      </w:r>
    </w:p>
    <w:p>
      <w:pPr>
        <w:pStyle w:val="TextBody"/>
        <w:bidi w:val="0"/>
        <w:spacing w:lineRule="auto" w:line="285" w:before="100" w:after="100"/>
        <w:ind w:left="0" w:right="0" w:hanging="0"/>
        <w:jc w:val="left"/>
        <w:rPr/>
      </w:pPr>
      <w:r>
        <w:rPr/>
        <w:t>​</w:t>
      </w:r>
    </w:p>
    <w:p>
      <w:pPr>
        <w:pStyle w:val="TextBody"/>
        <w:bidi w:val="0"/>
        <w:spacing w:lineRule="auto" w:line="307" w:before="0" w:after="160"/>
        <w:ind w:left="0" w:right="0" w:hanging="0"/>
        <w:jc w:val="left"/>
        <w:rPr/>
      </w:pPr>
      <w:bookmarkStart w:id="27" w:name="TrailerStart2"/>
      <w:bookmarkEnd w:id="27"/>
      <w:r>
        <w:rPr/>
        <w:t>​</w:t>
      </w:r>
      <w:r>
        <mc:AlternateContent>
          <mc:Choice Requires="wps">
            <w:drawing>
              <wp:anchor behindDoc="0" distT="0" distB="0" distL="0" distR="0" simplePos="0" locked="0" layoutInCell="1" allowOverlap="1" relativeHeight="19">
                <wp:simplePos x="0" y="0"/>
                <wp:positionH relativeFrom="page">
                  <wp:posOffset>0</wp:posOffset>
                </wp:positionH>
                <wp:positionV relativeFrom="line">
                  <wp:posOffset>635</wp:posOffset>
                </wp:positionV>
                <wp:extent cx="6480175" cy="175260"/>
                <wp:effectExtent l="0" t="0" r="0" b="0"/>
                <wp:wrapNone/>
                <wp:docPr id="17"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Helvetica;sans-serif" w:hAnsi="Helvetica;sans-serif"/>
          <w:b/>
          <w:sz w:val="22"/>
        </w:rPr>
      </w:pPr>
      <w:r>
        <w:rPr>
          <w:rFonts w:ascii="Helvetica;sans-serif" w:hAnsi="Helvetica;sans-serif"/>
          <w:b/>
          <w:sz w:val="22"/>
        </w:rPr>
        <w:t>Exhibit 99.1</w:t>
      </w:r>
      <w:r>
        <mc:AlternateContent>
          <mc:Choice Requires="wps">
            <w:drawing>
              <wp:anchor behindDoc="0" distT="207010" distB="0" distL="352425" distR="114300" simplePos="0" locked="0" layoutInCell="1" allowOverlap="1" relativeHeight="5">
                <wp:simplePos x="0" y="0"/>
                <wp:positionH relativeFrom="column">
                  <wp:align>left</wp:align>
                </wp:positionH>
                <wp:positionV relativeFrom="line">
                  <wp:align>top</wp:align>
                </wp:positionV>
                <wp:extent cx="1258570" cy="306705"/>
                <wp:effectExtent l="0" t="0" r="0" b="0"/>
                <wp:wrapSquare wrapText="right"/>
                <wp:docPr id="18" name="Frame13"/>
                <a:graphic xmlns:a="http://schemas.openxmlformats.org/drawingml/2006/main">
                  <a:graphicData uri="http://schemas.microsoft.com/office/word/2010/wordprocessingShape">
                    <wps:wsp>
                      <wps:cNvSpPr txBox="1"/>
                      <wps:spPr>
                        <a:xfrm>
                          <a:off x="0" y="0"/>
                          <a:ext cx="1258570" cy="306705"/>
                        </a:xfrm>
                        <a:prstGeom prst="rect"/>
                        <a:solidFill>
                          <a:srgbClr val="FFFFFF"/>
                        </a:solidFill>
                      </wps:spPr>
                      <wps:txbx>
                        <w:txbxContent>
                          <w:p>
                            <w:pPr>
                              <w:pStyle w:val="TextBody"/>
                              <w:bidi w:val="0"/>
                              <w:spacing w:before="0" w:after="0"/>
                              <w:jc w:val="left"/>
                              <w:rPr/>
                            </w:pPr>
                            <w:r>
                              <w:rPr/>
                              <w:drawing>
                                <wp:inline distT="0" distB="0" distL="0" distR="0">
                                  <wp:extent cx="1258570" cy="306705"/>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8"/>
                                          <a:stretch>
                                            <a:fillRect/>
                                          </a:stretch>
                                        </pic:blipFill>
                                        <pic:spPr bwMode="auto">
                                          <a:xfrm>
                                            <a:off x="0" y="0"/>
                                            <a:ext cx="1258570" cy="3067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9.1pt;height:24.15pt;mso-wrap-distance-left:27.75pt;mso-wrap-distance-right:9pt;mso-wrap-distance-top:16.3pt;mso-wrap-distance-bottom:0pt;margin-top:16.3pt;mso-position-vertical:top;mso-position-vertical-relative:text;margin-left:27.75pt;mso-position-horizontal:left;mso-position-horizontal-relative:text">
                <v:textbox>
                  <w:txbxContent>
                    <w:p>
                      <w:pPr>
                        <w:pStyle w:val="TextBody"/>
                        <w:bidi w:val="0"/>
                        <w:spacing w:before="0" w:after="0"/>
                        <w:jc w:val="left"/>
                        <w:rPr/>
                      </w:pPr>
                      <w:r>
                        <w:rPr/>
                        <w:drawing>
                          <wp:inline distT="0" distB="0" distL="0" distR="0">
                            <wp:extent cx="1258570" cy="306705"/>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9"/>
                                    <a:stretch>
                                      <a:fillRect/>
                                    </a:stretch>
                                  </pic:blipFill>
                                  <pic:spPr bwMode="auto">
                                    <a:xfrm>
                                      <a:off x="0" y="0"/>
                                      <a:ext cx="1258570" cy="30670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14605" cy="207010"/>
                <wp:effectExtent l="0" t="0" r="0" b="0"/>
                <wp:wrapSquare wrapText="right"/>
                <wp:docPr id="21" name="Frame12"/>
                <a:graphic xmlns:a="http://schemas.openxmlformats.org/drawingml/2006/main">
                  <a:graphicData uri="http://schemas.microsoft.com/office/word/2010/wordprocessingShape">
                    <wps:wsp>
                      <wps:cNvSpPr txBox="1"/>
                      <wps:spPr>
                        <a:xfrm>
                          <a:off x="0" y="0"/>
                          <a:ext cx="14605" cy="20701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TextBody"/>
        <w:bidi w:val="0"/>
        <w:spacing w:lineRule="auto" w:line="285" w:before="0" w:after="240"/>
        <w:ind w:left="0" w:right="0" w:hanging="0"/>
        <w:jc w:val="left"/>
        <w:rPr>
          <w:rFonts w:ascii="Helvetica;sans-serif" w:hAnsi="Helvetica;sans-serif"/>
          <w:sz w:val="22"/>
        </w:rPr>
      </w:pPr>
      <w:r>
        <w:rPr>
          <w:rFonts w:ascii="Helvetica;sans-serif" w:hAnsi="Helvetica;sans-serif"/>
          <w:sz w:val="22"/>
          <w:shd w:fill="FFFFFF" w:val="clear"/>
        </w:rPr>
        <w:tab/>
      </w:r>
      <w:r>
        <w:rPr>
          <w:rFonts w:ascii="Helvetica;sans-serif" w:hAnsi="Helvetica;sans-serif"/>
          <w:b/>
          <w:i w:val="false"/>
          <w:caps w:val="false"/>
          <w:smallCaps w:val="false"/>
          <w:sz w:val="22"/>
          <w:shd w:fill="FFFFFF" w:val="clear"/>
        </w:rPr>
        <w:t>PRESS RELEASE</w:t>
      </w:r>
      <w:r>
        <mc:AlternateContent>
          <mc:Choice Requires="wps">
            <w:drawing>
              <wp:anchor behindDoc="0" distT="0" distB="0" distL="0" distR="0" simplePos="0" locked="0" layoutInCell="1" allowOverlap="1" relativeHeight="21">
                <wp:simplePos x="0" y="0"/>
                <wp:positionH relativeFrom="page">
                  <wp:posOffset>0</wp:posOffset>
                </wp:positionH>
                <wp:positionV relativeFrom="line">
                  <wp:posOffset>635</wp:posOffset>
                </wp:positionV>
                <wp:extent cx="6480175" cy="175260"/>
                <wp:effectExtent l="0" t="0" r="0" b="0"/>
                <wp:wrapNone/>
                <wp:docPr id="22"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AEON BIOPHARMA, INC.</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CONDENSED CONSOLIDATED BALANCE SHEET</w:t>
      </w:r>
      <w:bookmarkStart w:id="28" w:name="AEONBalance_Sheet"/>
      <w:bookmarkEnd w:id="28"/>
      <w:r>
        <w:rPr>
          <w:rFonts w:ascii="Times New Roman;Times;serif" w:hAnsi="Times New Roman;Times;serif"/>
          <w:b/>
          <w:sz w:val="20"/>
        </w:rPr>
        <w: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 and par value amounts)</w:t>
      </w:r>
    </w:p>
    <w:p>
      <w:pPr>
        <w:pStyle w:val="TextBody"/>
        <w:bidi w:val="0"/>
        <w:spacing w:lineRule="auto" w:line="307" w:before="0" w:after="16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407"/>
        <w:gridCol w:w="109"/>
        <w:gridCol w:w="196"/>
        <w:gridCol w:w="767"/>
        <w:gridCol w:w="346"/>
        <w:gridCol w:w="346"/>
        <w:gridCol w:w="200"/>
        <w:gridCol w:w="834"/>
      </w:tblGrid>
      <w:tr>
        <w:trPr/>
        <w:tc>
          <w:tcPr>
            <w:tcW w:w="7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703445" cy="175260"/>
                      <wp:effectExtent l="0" t="0" r="0" b="0"/>
                      <wp:wrapNone/>
                      <wp:docPr id="23" name="Frame15"/>
                      <a:graphic xmlns:a="http://schemas.openxmlformats.org/drawingml/2006/main">
                        <a:graphicData uri="http://schemas.microsoft.com/office/word/2010/wordprocessingShape">
                          <wps:wsp>
                            <wps:cNvSpPr txBox="1"/>
                            <wps:spPr>
                              <a:xfrm>
                                <a:off x="0" y="0"/>
                                <a:ext cx="470344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4"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25"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87045" cy="175260"/>
                      <wp:effectExtent l="0" t="0" r="0" b="0"/>
                      <wp:wrapNone/>
                      <wp:docPr id="26" name="Frame18"/>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7"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8"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7000" cy="175260"/>
                      <wp:effectExtent l="0" t="0" r="0" b="0"/>
                      <wp:wrapNone/>
                      <wp:docPr id="29" name="Frame21"/>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29590" cy="175260"/>
                      <wp:effectExtent l="0" t="0" r="0" b="0"/>
                      <wp:wrapNone/>
                      <wp:docPr id="30" name="Frame2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7407"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963" w:type="dxa"/>
            <w:gridSpan w:val="2"/>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34" w:type="dxa"/>
            <w:gridSpan w:val="2"/>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407"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963"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left"/>
              <w:rPr/>
            </w:pPr>
            <w:r>
              <w:rPr/>
              <w:t>  ​ ​ ​</w:t>
            </w:r>
          </w:p>
        </w:tc>
        <w:tc>
          <w:tcPr>
            <w:tcW w:w="346" w:type="dxa"/>
            <w:tcBorders/>
            <w:vAlign w:val="center"/>
          </w:tcPr>
          <w:p>
            <w:pPr>
              <w:pStyle w:val="TableContents"/>
              <w:bidi w:val="0"/>
              <w:spacing w:lineRule="auto" w:line="307" w:before="0" w:after="1"/>
              <w:ind w:left="0" w:right="0" w:hanging="0"/>
              <w:jc w:val="left"/>
              <w:rPr/>
            </w:pPr>
            <w:r>
              <w:rPr/>
              <w:t>  ​ ​ ​</w:t>
            </w:r>
          </w:p>
        </w:tc>
        <w:tc>
          <w:tcPr>
            <w:tcW w:w="1034"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07"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963" w:type="dxa"/>
            <w:gridSpan w:val="2"/>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34" w:type="dxa"/>
            <w:gridSpan w:val="2"/>
            <w:tcBorders/>
            <w:vAlign w:val="center"/>
          </w:tcPr>
          <w:p>
            <w:pPr>
              <w:pStyle w:val="TableContents"/>
              <w:bidi w:val="0"/>
              <w:spacing w:lineRule="auto" w:line="307" w:before="0" w:after="160"/>
              <w:ind w:left="0" w:right="0" w:hanging="0"/>
              <w:jc w:val="center"/>
              <w:rPr/>
            </w:pPr>
            <w:r>
              <w:rPr/>
              <w:t>​</w:t>
            </w:r>
          </w:p>
        </w:tc>
      </w:tr>
      <w:tr>
        <w:trPr/>
        <w:tc>
          <w:tcPr>
            <w:tcW w:w="7407" w:type="dxa"/>
            <w:tcBorders/>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60"/>
              <w:ind w:left="0" w:right="0" w:hanging="0"/>
              <w:jc w:val="left"/>
              <w:rPr/>
            </w:pPr>
            <w:r>
              <w:rPr/>
              <w:t>​</w:t>
            </w:r>
          </w:p>
        </w:tc>
        <w:tc>
          <w:tcPr>
            <w:tcW w:w="767"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200" w:type="dxa"/>
            <w:tcBorders/>
            <w:vAlign w:val="center"/>
          </w:tcPr>
          <w:p>
            <w:pPr>
              <w:pStyle w:val="TableContents"/>
              <w:bidi w:val="0"/>
              <w:spacing w:lineRule="auto" w:line="307" w:before="0" w:after="160"/>
              <w:ind w:left="0" w:right="0" w:hanging="0"/>
              <w:jc w:val="left"/>
              <w:rPr/>
            </w:pPr>
            <w:r>
              <w:rPr/>
              <w:t>​</w:t>
            </w:r>
          </w:p>
        </w:tc>
        <w:tc>
          <w:tcPr>
            <w:tcW w:w="834" w:type="dxa"/>
            <w:tcBorders/>
            <w:vAlign w:val="center"/>
          </w:tcPr>
          <w:p>
            <w:pPr>
              <w:pStyle w:val="TableContents"/>
              <w:bidi w:val="0"/>
              <w:spacing w:lineRule="auto" w:line="307" w:before="0" w:after="1"/>
              <w:ind w:left="0" w:right="0" w:hanging="0"/>
              <w:jc w:val="right"/>
              <w:rPr/>
            </w:pPr>
            <w:r>
              <w:rPr/>
              <w:t>  ​</w:t>
            </w:r>
          </w:p>
        </w:tc>
      </w:tr>
      <w:tr>
        <w:trPr/>
        <w:tc>
          <w:tcPr>
            <w:tcW w:w="740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60"/>
              <w:ind w:left="0" w:right="0" w:hanging="0"/>
              <w:jc w:val="left"/>
              <w:rPr/>
            </w:pPr>
            <w:r>
              <w:rPr/>
              <w:t>​</w:t>
            </w:r>
          </w:p>
        </w:tc>
        <w:tc>
          <w:tcPr>
            <w:tcW w:w="767"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200" w:type="dxa"/>
            <w:tcBorders/>
            <w:shd w:fill="CCEEFF" w:val="clear"/>
            <w:vAlign w:val="center"/>
          </w:tcPr>
          <w:p>
            <w:pPr>
              <w:pStyle w:val="TableContents"/>
              <w:bidi w:val="0"/>
              <w:spacing w:lineRule="auto" w:line="307" w:before="0" w:after="160"/>
              <w:ind w:left="0" w:right="0" w:hanging="0"/>
              <w:jc w:val="left"/>
              <w:rPr/>
            </w:pPr>
            <w:r>
              <w:rPr/>
              <w:t>​</w:t>
            </w:r>
          </w:p>
        </w:tc>
        <w:tc>
          <w:tcPr>
            <w:tcW w:w="834" w:type="dxa"/>
            <w:tcBorders/>
            <w:shd w:fill="CCEEFF" w:val="clear"/>
            <w:vAlign w:val="center"/>
          </w:tcPr>
          <w:p>
            <w:pPr>
              <w:pStyle w:val="TableContents"/>
              <w:bidi w:val="0"/>
              <w:spacing w:lineRule="auto" w:line="307" w:before="0" w:after="1"/>
              <w:ind w:left="0" w:right="0" w:hanging="0"/>
              <w:jc w:val="right"/>
              <w:rPr/>
            </w:pPr>
            <w:r>
              <w:rPr/>
              <w:t>  ​</w:t>
            </w:r>
          </w:p>
        </w:tc>
      </w:tr>
      <w:tr>
        <w:trPr/>
        <w:tc>
          <w:tcPr>
            <w:tcW w:w="740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7"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6,243</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3,006</w:t>
            </w:r>
          </w:p>
        </w:tc>
      </w:tr>
      <w:tr>
        <w:trPr/>
        <w:tc>
          <w:tcPr>
            <w:tcW w:w="740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382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392</w:t>
            </w:r>
          </w:p>
        </w:tc>
      </w:tr>
      <w:tr>
        <w:trPr/>
        <w:tc>
          <w:tcPr>
            <w:tcW w:w="7407"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pPr>
            <w:r>
              <w:rPr/>
              <w:t> </w:t>
            </w:r>
          </w:p>
        </w:tc>
        <w:tc>
          <w:tcPr>
            <w:tcW w:w="767"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6,625</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pPr>
            <w:r>
              <w:rPr/>
              <w:t> </w:t>
            </w:r>
          </w:p>
        </w:tc>
        <w:tc>
          <w:tcPr>
            <w:tcW w:w="834"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3,398</w:t>
            </w:r>
          </w:p>
        </w:tc>
      </w:tr>
      <w:tr>
        <w:trPr/>
        <w:tc>
          <w:tcPr>
            <w:tcW w:w="740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pPr>
            <w:r>
              <w:rPr/>
              <w:t> </w:t>
            </w:r>
          </w:p>
        </w:tc>
        <w:tc>
          <w:tcPr>
            <w:tcW w:w="76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142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pPr>
            <w:r>
              <w:rPr/>
              <w:t> </w:t>
            </w:r>
          </w:p>
        </w:tc>
        <w:tc>
          <w:tcPr>
            <w:tcW w:w="83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162</w:t>
            </w:r>
          </w:p>
        </w:tc>
      </w:tr>
      <w:tr>
        <w:trPr/>
        <w:tc>
          <w:tcPr>
            <w:tcW w:w="740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pPr>
            <w:r>
              <w:rPr/>
              <w:t> </w:t>
            </w:r>
          </w:p>
        </w:tc>
        <w:tc>
          <w:tcPr>
            <w:tcW w:w="767"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992</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pPr>
            <w:r>
              <w:rPr/>
              <w:t> </w:t>
            </w:r>
          </w:p>
        </w:tc>
        <w:tc>
          <w:tcPr>
            <w:tcW w:w="834"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1,052</w:t>
            </w:r>
          </w:p>
        </w:tc>
      </w:tr>
      <w:tr>
        <w:trPr/>
        <w:tc>
          <w:tcPr>
            <w:tcW w:w="740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871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948</w:t>
            </w:r>
          </w:p>
        </w:tc>
      </w:tr>
      <w:tr>
        <w:trPr/>
        <w:tc>
          <w:tcPr>
            <w:tcW w:w="7407"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7"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8,630</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5,560</w:t>
            </w:r>
          </w:p>
        </w:tc>
      </w:tr>
      <w:tr>
        <w:trPr/>
        <w:tc>
          <w:tcPr>
            <w:tcW w:w="7407"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DEFICIT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pPr>
            <w:r>
              <w:rPr/>
              <w:t> </w:t>
            </w:r>
          </w:p>
        </w:tc>
        <w:tc>
          <w:tcPr>
            <w:tcW w:w="767"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pPr>
            <w:r>
              <w:rPr/>
              <w:t> </w:t>
            </w:r>
          </w:p>
        </w:tc>
        <w:tc>
          <w:tcPr>
            <w:tcW w:w="834" w:type="dxa"/>
            <w:tcBorders/>
            <w:shd w:fill="CCEEFF" w:val="clear"/>
            <w:vAlign w:val="center"/>
          </w:tcPr>
          <w:p>
            <w:pPr>
              <w:pStyle w:val="TableContents"/>
              <w:bidi w:val="0"/>
              <w:spacing w:lineRule="auto" w:line="307" w:before="0" w:after="1"/>
              <w:ind w:left="0" w:right="0" w:hanging="0"/>
              <w:jc w:val="right"/>
              <w:rPr/>
            </w:pPr>
            <w:r>
              <w:rPr/>
              <w:t>  ​</w:t>
            </w:r>
          </w:p>
        </w:tc>
      </w:tr>
      <w:tr>
        <w:trPr/>
        <w:tc>
          <w:tcPr>
            <w:tcW w:w="7407"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pPr>
            <w:r>
              <w:rPr/>
              <w:t> </w:t>
            </w:r>
          </w:p>
        </w:tc>
        <w:tc>
          <w:tcPr>
            <w:tcW w:w="767"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pPr>
            <w:r>
              <w:rPr/>
              <w:t> </w:t>
            </w:r>
          </w:p>
        </w:tc>
        <w:tc>
          <w:tcPr>
            <w:tcW w:w="834" w:type="dxa"/>
            <w:tcBorders/>
            <w:vAlign w:val="center"/>
          </w:tcPr>
          <w:p>
            <w:pPr>
              <w:pStyle w:val="TableContents"/>
              <w:bidi w:val="0"/>
              <w:spacing w:lineRule="auto" w:line="307" w:before="0" w:after="1"/>
              <w:ind w:left="0" w:right="0" w:hanging="0"/>
              <w:jc w:val="right"/>
              <w:rPr/>
            </w:pPr>
            <w:r>
              <w:rPr/>
              <w:t>  ​</w:t>
            </w:r>
          </w:p>
        </w:tc>
      </w:tr>
      <w:tr>
        <w:trPr/>
        <w:tc>
          <w:tcPr>
            <w:tcW w:w="740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1,481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942</w:t>
            </w:r>
          </w:p>
        </w:tc>
      </w:tr>
      <w:tr>
        <w:trPr/>
        <w:tc>
          <w:tcPr>
            <w:tcW w:w="740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Accrued clinical trials expenses</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pPr>
            <w:r>
              <w:rPr/>
              <w:t> </w:t>
            </w:r>
          </w:p>
        </w:tc>
        <w:tc>
          <w:tcPr>
            <w:tcW w:w="767"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1,173</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pPr>
            <w:r>
              <w:rPr/>
              <w:t> </w:t>
            </w:r>
          </w:p>
        </w:tc>
        <w:tc>
          <w:tcPr>
            <w:tcW w:w="834"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1,426</w:t>
            </w:r>
          </w:p>
        </w:tc>
      </w:tr>
      <w:tr>
        <w:trPr/>
        <w:tc>
          <w:tcPr>
            <w:tcW w:w="740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pPr>
            <w:r>
              <w:rPr/>
              <w:t> </w:t>
            </w:r>
          </w:p>
        </w:tc>
        <w:tc>
          <w:tcPr>
            <w:tcW w:w="76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1,832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pPr>
            <w:r>
              <w:rPr/>
              <w:t> </w:t>
            </w:r>
          </w:p>
        </w:tc>
        <w:tc>
          <w:tcPr>
            <w:tcW w:w="83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2,872</w:t>
            </w:r>
          </w:p>
        </w:tc>
      </w:tr>
      <w:tr>
        <w:trPr/>
        <w:tc>
          <w:tcPr>
            <w:tcW w:w="740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2,183</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1,657</w:t>
            </w:r>
          </w:p>
        </w:tc>
      </w:tr>
      <w:tr>
        <w:trPr/>
        <w:tc>
          <w:tcPr>
            <w:tcW w:w="740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pPr>
            <w:r>
              <w:rPr/>
              <w:t> </w:t>
            </w:r>
          </w:p>
        </w:tc>
        <w:tc>
          <w:tcPr>
            <w:tcW w:w="76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6,669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pPr>
            <w:r>
              <w:rPr/>
              <w:t> </w:t>
            </w:r>
          </w:p>
        </w:tc>
        <w:tc>
          <w:tcPr>
            <w:tcW w:w="83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6,897</w:t>
            </w:r>
          </w:p>
        </w:tc>
      </w:tr>
      <w:tr>
        <w:trPr/>
        <w:tc>
          <w:tcPr>
            <w:tcW w:w="740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Convertible notes at fair value, including related party amount of $1,542 and $34,600, at March 31, 2026 and December 31, 2025, respectively</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pPr>
            <w:r>
              <w:rPr/>
              <w:t> </w:t>
            </w:r>
          </w:p>
        </w:tc>
        <w:tc>
          <w:tcPr>
            <w:tcW w:w="767"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1,542</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pPr>
            <w:r>
              <w:rPr/>
              <w:t> </w:t>
            </w:r>
          </w:p>
        </w:tc>
        <w:tc>
          <w:tcPr>
            <w:tcW w:w="834"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34,600</w:t>
            </w:r>
          </w:p>
        </w:tc>
      </w:tr>
      <w:tr>
        <w:trPr/>
        <w:tc>
          <w:tcPr>
            <w:tcW w:w="740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pPr>
            <w:r>
              <w:rPr/>
              <w:t> </w:t>
            </w:r>
          </w:p>
        </w:tc>
        <w:tc>
          <w:tcPr>
            <w:tcW w:w="76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825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pPr>
            <w:r>
              <w:rPr/>
              <w:t> </w:t>
            </w:r>
          </w:p>
        </w:tc>
        <w:tc>
          <w:tcPr>
            <w:tcW w:w="83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893</w:t>
            </w:r>
          </w:p>
        </w:tc>
      </w:tr>
      <w:tr>
        <w:trPr/>
        <w:tc>
          <w:tcPr>
            <w:tcW w:w="740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60"/>
              <w:ind w:left="0" w:right="0" w:hanging="0"/>
              <w:jc w:val="left"/>
              <w:rPr/>
            </w:pPr>
            <w:r>
              <w:rPr/>
              <w:t>​</w:t>
            </w:r>
          </w:p>
        </w:tc>
        <w:tc>
          <w:tcPr>
            <w:tcW w:w="767"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60"/>
              <w:ind w:left="0" w:right="0" w:hanging="0"/>
              <w:jc w:val="left"/>
              <w:rPr/>
            </w:pPr>
            <w:r>
              <w:rPr/>
              <w:t>​</w:t>
            </w:r>
          </w:p>
        </w:tc>
        <w:tc>
          <w:tcPr>
            <w:tcW w:w="834"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14,879</w:t>
            </w:r>
          </w:p>
        </w:tc>
      </w:tr>
      <w:tr>
        <w:trPr/>
        <w:tc>
          <w:tcPr>
            <w:tcW w:w="740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60"/>
              <w:ind w:left="0" w:right="0" w:hanging="0"/>
              <w:jc w:val="left"/>
              <w:rPr/>
            </w:pPr>
            <w:r>
              <w:rPr/>
              <w:t>​</w:t>
            </w:r>
          </w:p>
        </w:tc>
        <w:tc>
          <w:tcPr>
            <w:tcW w:w="76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16,308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60"/>
              <w:ind w:left="0" w:right="0" w:hanging="0"/>
              <w:jc w:val="left"/>
              <w:rPr/>
            </w:pPr>
            <w:r>
              <w:rPr/>
              <w:t>​</w:t>
            </w:r>
          </w:p>
        </w:tc>
        <w:tc>
          <w:tcPr>
            <w:tcW w:w="83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3,276</w:t>
            </w:r>
          </w:p>
        </w:tc>
      </w:tr>
      <w:tr>
        <w:trPr/>
        <w:tc>
          <w:tcPr>
            <w:tcW w:w="740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liability</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07" w:before="0" w:after="16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38</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307" w:before="0" w:after="16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42</w:t>
            </w:r>
          </w:p>
        </w:tc>
      </w:tr>
      <w:tr>
        <w:trPr/>
        <w:tc>
          <w:tcPr>
            <w:tcW w:w="740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pPr>
            <w:r>
              <w:rPr/>
              <w:t> </w:t>
            </w:r>
          </w:p>
        </w:tc>
        <w:tc>
          <w:tcPr>
            <w:tcW w:w="76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25,382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pPr>
            <w:r>
              <w:rPr/>
              <w:t> </w:t>
            </w:r>
          </w:p>
        </w:tc>
        <w:tc>
          <w:tcPr>
            <w:tcW w:w="83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60,587</w:t>
            </w:r>
          </w:p>
        </w:tc>
      </w:tr>
      <w:tr>
        <w:trPr/>
        <w:tc>
          <w:tcPr>
            <w:tcW w:w="740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pPr>
            <w:r>
              <w:rPr/>
              <w:t> </w:t>
            </w:r>
          </w:p>
        </w:tc>
        <w:tc>
          <w:tcPr>
            <w:tcW w:w="767"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pPr>
            <w:r>
              <w:rPr/>
              <w:t> </w:t>
            </w:r>
          </w:p>
        </w:tc>
        <w:tc>
          <w:tcPr>
            <w:tcW w:w="834" w:type="dxa"/>
            <w:tcBorders/>
            <w:vAlign w:val="center"/>
          </w:tcPr>
          <w:p>
            <w:pPr>
              <w:pStyle w:val="TableContents"/>
              <w:bidi w:val="0"/>
              <w:spacing w:lineRule="auto" w:line="307" w:before="0" w:after="1"/>
              <w:ind w:left="0" w:right="0" w:hanging="0"/>
              <w:jc w:val="right"/>
              <w:rPr/>
            </w:pPr>
            <w:r>
              <w:rPr/>
              <w:t>  ​</w:t>
            </w:r>
          </w:p>
        </w:tc>
      </w:tr>
      <w:tr>
        <w:trPr/>
        <w:tc>
          <w:tcPr>
            <w:tcW w:w="740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Stockholders’ Deficit: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pPr>
            <w:r>
              <w:rPr/>
              <w:t> </w:t>
            </w:r>
          </w:p>
        </w:tc>
        <w:tc>
          <w:tcPr>
            <w:tcW w:w="767"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pPr>
            <w:r>
              <w:rPr/>
              <w:t> </w:t>
            </w:r>
          </w:p>
        </w:tc>
        <w:tc>
          <w:tcPr>
            <w:tcW w:w="834" w:type="dxa"/>
            <w:tcBorders/>
            <w:shd w:fill="CCEEFF" w:val="clear"/>
            <w:vAlign w:val="center"/>
          </w:tcPr>
          <w:p>
            <w:pPr>
              <w:pStyle w:val="TableContents"/>
              <w:bidi w:val="0"/>
              <w:spacing w:lineRule="auto" w:line="307" w:before="0" w:after="1"/>
              <w:ind w:left="0" w:right="0" w:hanging="0"/>
              <w:jc w:val="right"/>
              <w:rPr/>
            </w:pPr>
            <w:r>
              <w:rPr/>
              <w:t>  ​</w:t>
            </w:r>
          </w:p>
        </w:tc>
      </w:tr>
      <w:tr>
        <w:trPr/>
        <w:tc>
          <w:tcPr>
            <w:tcW w:w="740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Class A common stock, $0.0001 par value; 1,040,000,000 and 500,000,000 shares authorized at March 31, 2026 and December 31, 2025, respectively, and 25,303,058 and 12,105,902 shares issued and outstanding at March 31, 2026 and December 31, 2025, respectively</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pPr>
            <w:r>
              <w:rPr/>
              <w:t> </w:t>
            </w:r>
          </w:p>
        </w:tc>
        <w:tc>
          <w:tcPr>
            <w:tcW w:w="767"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pPr>
            <w:r>
              <w:rPr/>
              <w:t> </w:t>
            </w:r>
          </w:p>
        </w:tc>
        <w:tc>
          <w:tcPr>
            <w:tcW w:w="834"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9</w:t>
            </w:r>
          </w:p>
        </w:tc>
      </w:tr>
      <w:tr>
        <w:trPr/>
        <w:tc>
          <w:tcPr>
            <w:tcW w:w="740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pPr>
            <w:r>
              <w:rPr/>
              <w:t> </w:t>
            </w:r>
          </w:p>
        </w:tc>
        <w:tc>
          <w:tcPr>
            <w:tcW w:w="76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465,850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pPr>
            <w:r>
              <w:rPr/>
              <w:t> </w:t>
            </w:r>
          </w:p>
        </w:tc>
        <w:tc>
          <w:tcPr>
            <w:tcW w:w="83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415,783</w:t>
            </w:r>
          </w:p>
        </w:tc>
      </w:tr>
      <w:tr>
        <w:trPr/>
        <w:tc>
          <w:tcPr>
            <w:tcW w:w="740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(482,612)</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(470,819)</w:t>
            </w:r>
          </w:p>
        </w:tc>
      </w:tr>
      <w:tr>
        <w:trPr/>
        <w:tc>
          <w:tcPr>
            <w:tcW w:w="740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stockholders' deficit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(16,752)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(55,027)</w:t>
            </w:r>
          </w:p>
        </w:tc>
      </w:tr>
      <w:tr>
        <w:trPr/>
        <w:tc>
          <w:tcPr>
            <w:tcW w:w="7407"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deficit</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7"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8,630</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sz w:val="18"/>
              </w:rPr>
            </w:pPr>
            <w:r>
              <w:rPr>
                <w:rFonts w:ascii="Times New Roman;Times;serif" w:hAnsi="Times New Roman;Times;serif"/>
                <w:sz w:val="18"/>
              </w:rPr>
              <w:t>5,560</w:t>
            </w:r>
          </w:p>
        </w:tc>
      </w:tr>
    </w:tbl>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307" w:before="0" w:after="160"/>
        <w:ind w:left="0" w:right="0" w:hanging="0"/>
        <w:jc w:val="left"/>
        <w:rPr/>
      </w:pPr>
      <w:bookmarkStart w:id="29" w:name="TrailerStart3"/>
      <w:bookmarkEnd w:id="29"/>
      <w:r>
        <w:rPr/>
        <w:t>​</w:t>
      </w:r>
      <w:r>
        <mc:AlternateContent>
          <mc:Choice Requires="wps">
            <w:drawing>
              <wp:anchor behindDoc="0" distT="0" distB="0" distL="0" distR="0" simplePos="0" locked="0" layoutInCell="1" allowOverlap="1" relativeHeight="30">
                <wp:simplePos x="0" y="0"/>
                <wp:positionH relativeFrom="page">
                  <wp:posOffset>0</wp:posOffset>
                </wp:positionH>
                <wp:positionV relativeFrom="line">
                  <wp:posOffset>635</wp:posOffset>
                </wp:positionV>
                <wp:extent cx="6480175" cy="175260"/>
                <wp:effectExtent l="0" t="0" r="0" b="0"/>
                <wp:wrapNone/>
                <wp:docPr id="31"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Helvetica;sans-serif" w:hAnsi="Helvetica;sans-serif"/>
          <w:b/>
          <w:sz w:val="22"/>
        </w:rPr>
      </w:pPr>
      <w:r>
        <w:rPr>
          <w:rFonts w:ascii="Helvetica;sans-serif" w:hAnsi="Helvetica;sans-serif"/>
          <w:b/>
          <w:sz w:val="22"/>
        </w:rPr>
        <w:t>Exhibit 99.1</w:t>
      </w:r>
      <w:r>
        <mc:AlternateContent>
          <mc:Choice Requires="wps">
            <w:drawing>
              <wp:anchor behindDoc="0" distT="207010" distB="0" distL="352425" distR="114300" simplePos="0" locked="0" layoutInCell="1" allowOverlap="1" relativeHeight="2">
                <wp:simplePos x="0" y="0"/>
                <wp:positionH relativeFrom="column">
                  <wp:align>left</wp:align>
                </wp:positionH>
                <wp:positionV relativeFrom="line">
                  <wp:align>top</wp:align>
                </wp:positionV>
                <wp:extent cx="1258570" cy="306705"/>
                <wp:effectExtent l="0" t="0" r="0" b="0"/>
                <wp:wrapSquare wrapText="right"/>
                <wp:docPr id="32" name="Frame25"/>
                <a:graphic xmlns:a="http://schemas.openxmlformats.org/drawingml/2006/main">
                  <a:graphicData uri="http://schemas.microsoft.com/office/word/2010/wordprocessingShape">
                    <wps:wsp>
                      <wps:cNvSpPr txBox="1"/>
                      <wps:spPr>
                        <a:xfrm>
                          <a:off x="0" y="0"/>
                          <a:ext cx="1258570" cy="306705"/>
                        </a:xfrm>
                        <a:prstGeom prst="rect"/>
                        <a:solidFill>
                          <a:srgbClr val="FFFFFF"/>
                        </a:solidFill>
                      </wps:spPr>
                      <wps:txbx>
                        <w:txbxContent>
                          <w:p>
                            <w:pPr>
                              <w:pStyle w:val="TextBody"/>
                              <w:bidi w:val="0"/>
                              <w:spacing w:before="0" w:after="0"/>
                              <w:jc w:val="left"/>
                              <w:rPr/>
                            </w:pPr>
                            <w:r>
                              <w:rPr/>
                              <w:drawing>
                                <wp:inline distT="0" distB="0" distL="0" distR="0">
                                  <wp:extent cx="1258570" cy="306705"/>
                                  <wp:effectExtent l="0" t="0" r="0" b="0"/>
                                  <wp:docPr id="3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5" descr=""/>
                                          <pic:cNvPicPr>
                                            <a:picLocks noChangeAspect="1" noChangeArrowheads="1"/>
                                          </pic:cNvPicPr>
                                        </pic:nvPicPr>
                                        <pic:blipFill>
                                          <a:blip r:embed="rId10"/>
                                          <a:stretch>
                                            <a:fillRect/>
                                          </a:stretch>
                                        </pic:blipFill>
                                        <pic:spPr bwMode="auto">
                                          <a:xfrm>
                                            <a:off x="0" y="0"/>
                                            <a:ext cx="1258570" cy="3067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9.1pt;height:24.15pt;mso-wrap-distance-left:27.75pt;mso-wrap-distance-right:9pt;mso-wrap-distance-top:16.3pt;mso-wrap-distance-bottom:0pt;margin-top:16.3pt;mso-position-vertical:top;mso-position-vertical-relative:text;margin-left:27.75pt;mso-position-horizontal:left;mso-position-horizontal-relative:text">
                <v:textbox>
                  <w:txbxContent>
                    <w:p>
                      <w:pPr>
                        <w:pStyle w:val="TextBody"/>
                        <w:bidi w:val="0"/>
                        <w:spacing w:before="0" w:after="0"/>
                        <w:jc w:val="left"/>
                        <w:rPr/>
                      </w:pPr>
                      <w:r>
                        <w:rPr/>
                        <w:drawing>
                          <wp:inline distT="0" distB="0" distL="0" distR="0">
                            <wp:extent cx="1258570" cy="306705"/>
                            <wp:effectExtent l="0" t="0" r="0" b="0"/>
                            <wp:docPr id="3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5" descr=""/>
                                    <pic:cNvPicPr>
                                      <a:picLocks noChangeAspect="1" noChangeArrowheads="1"/>
                                    </pic:cNvPicPr>
                                  </pic:nvPicPr>
                                  <pic:blipFill>
                                    <a:blip r:embed="rId11"/>
                                    <a:stretch>
                                      <a:fillRect/>
                                    </a:stretch>
                                  </pic:blipFill>
                                  <pic:spPr bwMode="auto">
                                    <a:xfrm>
                                      <a:off x="0" y="0"/>
                                      <a:ext cx="1258570" cy="30670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14605" cy="207010"/>
                <wp:effectExtent l="0" t="0" r="0" b="0"/>
                <wp:wrapSquare wrapText="right"/>
                <wp:docPr id="35" name="Frame24"/>
                <a:graphic xmlns:a="http://schemas.openxmlformats.org/drawingml/2006/main">
                  <a:graphicData uri="http://schemas.microsoft.com/office/word/2010/wordprocessingShape">
                    <wps:wsp>
                      <wps:cNvSpPr txBox="1"/>
                      <wps:spPr>
                        <a:xfrm>
                          <a:off x="0" y="0"/>
                          <a:ext cx="14605" cy="20701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TextBody"/>
        <w:bidi w:val="0"/>
        <w:spacing w:lineRule="auto" w:line="285" w:before="0" w:after="240"/>
        <w:ind w:left="0" w:right="0" w:hanging="0"/>
        <w:jc w:val="left"/>
        <w:rPr>
          <w:rFonts w:ascii="Helvetica;sans-serif" w:hAnsi="Helvetica;sans-serif"/>
          <w:b/>
          <w:sz w:val="22"/>
        </w:rPr>
      </w:pPr>
      <w:r>
        <w:rPr>
          <w:rFonts w:ascii="Helvetica;sans-serif" w:hAnsi="Helvetica;sans-serif"/>
          <w:b/>
          <w:sz w:val="22"/>
        </w:rPr>
        <w:t>PRESS RELEASE</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AEON BIOPHARMA, INC.</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CONDENSED CONSOLIDATED STATEMENTS OF OPERATIONS AND COMPREHENSIVE</w:t>
      </w:r>
      <w:bookmarkStart w:id="30" w:name="AEON_StatementsOfOperation"/>
      <w:bookmarkEnd w:id="30"/>
      <w:r>
        <w:rPr>
          <w:rFonts w:ascii="Helvetica;sans-serif" w:hAnsi="Helvetica;sans-serif"/>
          <w:sz w:val="20"/>
        </w:rPr>
        <w:t xml:space="preserve"> </w:t>
      </w:r>
      <w:r>
        <w:rPr>
          <w:rFonts w:ascii="Times New Roman;Times;serif" w:hAnsi="Times New Roman;Times;serif"/>
          <w:b/>
          <w:sz w:val="20"/>
        </w:rPr>
        <w:t>(LOSS) INCOME</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lineRule="auto" w:line="307" w:before="0" w:after="16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009"/>
        <w:gridCol w:w="346"/>
        <w:gridCol w:w="211"/>
        <w:gridCol w:w="1036"/>
        <w:gridCol w:w="346"/>
        <w:gridCol w:w="211"/>
        <w:gridCol w:w="1046"/>
      </w:tblGrid>
      <w:tr>
        <w:trPr/>
        <w:tc>
          <w:tcPr>
            <w:tcW w:w="7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450715" cy="175260"/>
                      <wp:effectExtent l="0" t="0" r="0" b="0"/>
                      <wp:wrapNone/>
                      <wp:docPr id="36" name="Frame26"/>
                      <a:graphic xmlns:a="http://schemas.openxmlformats.org/drawingml/2006/main">
                        <a:graphicData uri="http://schemas.microsoft.com/office/word/2010/wordprocessingShape">
                          <wps:wsp>
                            <wps:cNvSpPr txBox="1"/>
                            <wps:spPr>
                              <a:xfrm>
                                <a:off x="0" y="0"/>
                                <a:ext cx="44507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57860" cy="175260"/>
                      <wp:effectExtent l="0" t="0" r="0" b="0"/>
                      <wp:wrapNone/>
                      <wp:docPr id="39" name="Frame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4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4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4210" cy="175260"/>
                      <wp:effectExtent l="0" t="0" r="0" b="0"/>
                      <wp:wrapNone/>
                      <wp:docPr id="42" name="Frame32"/>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700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211" w:type="dxa"/>
            <w:tcBorders/>
            <w:vAlign w:val="center"/>
          </w:tcPr>
          <w:p>
            <w:pPr>
              <w:pStyle w:val="TableContents"/>
              <w:bidi w:val="0"/>
              <w:spacing w:lineRule="auto" w:line="307" w:before="0" w:after="160"/>
              <w:ind w:left="0" w:right="0" w:hanging="0"/>
              <w:jc w:val="center"/>
              <w:rPr/>
            </w:pPr>
            <w:r>
              <w:rPr/>
              <w:t>​</w:t>
            </w:r>
          </w:p>
        </w:tc>
        <w:tc>
          <w:tcPr>
            <w:tcW w:w="10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11" w:type="dxa"/>
            <w:tcBorders/>
            <w:vAlign w:val="center"/>
          </w:tcPr>
          <w:p>
            <w:pPr>
              <w:pStyle w:val="TableContents"/>
              <w:bidi w:val="0"/>
              <w:spacing w:lineRule="auto" w:line="307" w:before="0" w:after="160"/>
              <w:ind w:left="0" w:right="0" w:hanging="0"/>
              <w:jc w:val="center"/>
              <w:rPr/>
            </w:pPr>
            <w:r>
              <w:rPr/>
              <w:t>​</w:t>
            </w:r>
          </w:p>
        </w:tc>
        <w:tc>
          <w:tcPr>
            <w:tcW w:w="1046" w:type="dxa"/>
            <w:tcBorders/>
            <w:vAlign w:val="center"/>
          </w:tcPr>
          <w:p>
            <w:pPr>
              <w:pStyle w:val="TableContents"/>
              <w:bidi w:val="0"/>
              <w:spacing w:lineRule="auto" w:line="307" w:before="0" w:after="160"/>
              <w:ind w:left="0" w:right="0" w:hanging="0"/>
              <w:jc w:val="center"/>
              <w:rPr/>
            </w:pPr>
            <w:r>
              <w:rPr/>
              <w:t>​</w:t>
            </w:r>
          </w:p>
        </w:tc>
      </w:tr>
      <w:tr>
        <w:trPr/>
        <w:tc>
          <w:tcPr>
            <w:tcW w:w="700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85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700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left"/>
              <w:rPr/>
            </w:pPr>
            <w:r>
              <w:rPr/>
              <w:t>  ​ ​ ​</w:t>
            </w:r>
          </w:p>
        </w:tc>
        <w:tc>
          <w:tcPr>
            <w:tcW w:w="1257"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00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211" w:type="dxa"/>
            <w:tcBorders/>
            <w:shd w:fill="CCEEFF" w:val="clear"/>
            <w:vAlign w:val="center"/>
          </w:tcPr>
          <w:p>
            <w:pPr>
              <w:pStyle w:val="TableContents"/>
              <w:bidi w:val="0"/>
              <w:spacing w:lineRule="auto" w:line="307" w:before="0" w:after="160"/>
              <w:ind w:left="0" w:right="0" w:hanging="0"/>
              <w:jc w:val="left"/>
              <w:rPr/>
            </w:pPr>
            <w:r>
              <w:rPr/>
              <w:t>​</w:t>
            </w:r>
          </w:p>
        </w:tc>
        <w:tc>
          <w:tcPr>
            <w:tcW w:w="103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211" w:type="dxa"/>
            <w:tcBorders/>
            <w:shd w:fill="CCEEFF" w:val="clear"/>
            <w:vAlign w:val="center"/>
          </w:tcPr>
          <w:p>
            <w:pPr>
              <w:pStyle w:val="TableContents"/>
              <w:bidi w:val="0"/>
              <w:spacing w:lineRule="auto" w:line="307" w:before="0" w:after="160"/>
              <w:ind w:left="0" w:right="0" w:hanging="0"/>
              <w:jc w:val="left"/>
              <w:rPr/>
            </w:pPr>
            <w:r>
              <w:rPr/>
              <w:t>​</w:t>
            </w:r>
          </w:p>
        </w:tc>
        <w:tc>
          <w:tcPr>
            <w:tcW w:w="1046" w:type="dxa"/>
            <w:tcBorders/>
            <w:shd w:fill="CCEEFF" w:val="clear"/>
            <w:vAlign w:val="center"/>
          </w:tcPr>
          <w:p>
            <w:pPr>
              <w:pStyle w:val="TableContents"/>
              <w:bidi w:val="0"/>
              <w:spacing w:lineRule="auto" w:line="307" w:before="0" w:after="1"/>
              <w:ind w:left="0" w:right="0" w:hanging="0"/>
              <w:jc w:val="right"/>
              <w:rPr/>
            </w:pPr>
            <w:r>
              <w:rPr/>
              <w:t>  ​</w:t>
            </w:r>
          </w:p>
        </w:tc>
      </w:tr>
      <w:tr>
        <w:trPr/>
        <w:tc>
          <w:tcPr>
            <w:tcW w:w="7009"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3,903</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3,125</w:t>
            </w:r>
          </w:p>
        </w:tc>
      </w:tr>
      <w:tr>
        <w:trPr/>
        <w:tc>
          <w:tcPr>
            <w:tcW w:w="700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2,034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825</w:t>
            </w:r>
          </w:p>
        </w:tc>
      </w:tr>
      <w:tr>
        <w:trPr/>
        <w:tc>
          <w:tcPr>
            <w:tcW w:w="7009"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contingent consideration</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(3,488)</w:t>
            </w:r>
          </w:p>
        </w:tc>
      </w:tr>
      <w:tr>
        <w:trPr/>
        <w:tc>
          <w:tcPr>
            <w:tcW w:w="700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5,933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462</w:t>
            </w:r>
          </w:p>
        </w:tc>
      </w:tr>
      <w:tr>
        <w:trPr/>
        <w:tc>
          <w:tcPr>
            <w:tcW w:w="7009"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pPr>
            <w:r>
              <w:rPr/>
              <w:t> </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(5,933)</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pPr>
            <w:r>
              <w:rPr/>
              <w:t> </w:t>
            </w:r>
          </w:p>
        </w:tc>
        <w:tc>
          <w:tcPr>
            <w:tcW w:w="10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(462)</w:t>
            </w:r>
          </w:p>
        </w:tc>
      </w:tr>
      <w:tr>
        <w:trPr/>
        <w:tc>
          <w:tcPr>
            <w:tcW w:w="700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(loss)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3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46" w:type="dxa"/>
            <w:tcBorders/>
            <w:shd w:fill="CCEEFF" w:val="clear"/>
            <w:vAlign w:val="center"/>
          </w:tcPr>
          <w:p>
            <w:pPr>
              <w:pStyle w:val="TableContents"/>
              <w:bidi w:val="0"/>
              <w:spacing w:lineRule="auto" w:line="307" w:before="0" w:after="1"/>
              <w:ind w:left="0" w:right="0" w:hanging="0"/>
              <w:jc w:val="right"/>
              <w:rPr/>
            </w:pPr>
            <w:r>
              <w:rPr/>
              <w:t>  ​</w:t>
            </w:r>
          </w:p>
        </w:tc>
      </w:tr>
      <w:tr>
        <w:trPr/>
        <w:tc>
          <w:tcPr>
            <w:tcW w:w="7009"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pPr>
            <w:r>
              <w:rPr/>
              <w:t> </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(8,727)</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pPr>
            <w:r>
              <w:rPr/>
              <w:t> </w:t>
            </w:r>
          </w:p>
        </w:tc>
        <w:tc>
          <w:tcPr>
            <w:tcW w:w="10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(1,631)</w:t>
            </w:r>
          </w:p>
        </w:tc>
      </w:tr>
      <w:tr>
        <w:trPr/>
        <w:tc>
          <w:tcPr>
            <w:tcW w:w="700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4,656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86,729</w:t>
            </w:r>
          </w:p>
        </w:tc>
      </w:tr>
      <w:tr>
        <w:trPr/>
        <w:tc>
          <w:tcPr>
            <w:tcW w:w="7009"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Loss on issuance of warrants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c>
          <w:tcPr>
            <w:tcW w:w="103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c>
          <w:tcPr>
            <w:tcW w:w="10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(75,644)</w:t>
            </w:r>
          </w:p>
        </w:tc>
      </w:tr>
      <w:tr>
        <w:trPr/>
        <w:tc>
          <w:tcPr>
            <w:tcW w:w="700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left"/>
              <w:rPr/>
            </w:pPr>
            <w:r>
              <w:rPr/>
              <w:t>​</w:t>
            </w:r>
          </w:p>
        </w:tc>
        <w:tc>
          <w:tcPr>
            <w:tcW w:w="10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left"/>
              <w:rPr/>
            </w:pPr>
            <w:r>
              <w:rPr/>
              <w:t>​</w:t>
            </w:r>
          </w:p>
        </w:tc>
        <w:tc>
          <w:tcPr>
            <w:tcW w:w="1046" w:type="dxa"/>
            <w:tcBorders/>
            <w:shd w:fill="CCEEFF" w:val="clear"/>
            <w:vAlign w:val="center"/>
          </w:tcPr>
          <w:p>
            <w:pPr>
              <w:pStyle w:val="TableContents"/>
              <w:bidi w:val="0"/>
              <w:spacing w:lineRule="auto" w:line="307" w:before="0" w:after="1"/>
              <w:ind w:left="0" w:right="0" w:hanging="0"/>
              <w:jc w:val="right"/>
              <w:rPr/>
            </w:pPr>
            <w:r>
              <w:rPr/>
              <w:t>—</w:t>
            </w:r>
          </w:p>
        </w:tc>
      </w:tr>
      <w:tr>
        <w:trPr/>
        <w:tc>
          <w:tcPr>
            <w:tcW w:w="7009"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Loss on derivative liability</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(1,743)</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c>
          <w:tcPr>
            <w:tcW w:w="1046" w:type="dxa"/>
            <w:tcBorders/>
            <w:vAlign w:val="center"/>
          </w:tcPr>
          <w:p>
            <w:pPr>
              <w:pStyle w:val="TableContents"/>
              <w:bidi w:val="0"/>
              <w:spacing w:lineRule="auto" w:line="307" w:before="0" w:after="1"/>
              <w:ind w:left="0" w:right="0" w:hanging="0"/>
              <w:jc w:val="right"/>
              <w:rPr/>
            </w:pPr>
            <w:r>
              <w:rPr/>
              <w:t>—</w:t>
            </w:r>
          </w:p>
        </w:tc>
      </w:tr>
      <w:tr>
        <w:trPr/>
        <w:tc>
          <w:tcPr>
            <w:tcW w:w="700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7009"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other loss, net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(5,860)</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9,557</w:t>
            </w:r>
          </w:p>
        </w:tc>
      </w:tr>
      <w:tr>
        <w:trPr/>
        <w:tc>
          <w:tcPr>
            <w:tcW w:w="700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(Loss) income before taxes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(11,793)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9,095</w:t>
            </w:r>
          </w:p>
        </w:tc>
      </w:tr>
      <w:tr>
        <w:trPr/>
        <w:tc>
          <w:tcPr>
            <w:tcW w:w="7009"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r>
      <w:tr>
        <w:trPr/>
        <w:tc>
          <w:tcPr>
            <w:tcW w:w="700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(11,793)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9,095</w:t>
            </w:r>
          </w:p>
        </w:tc>
      </w:tr>
      <w:tr>
        <w:trPr/>
        <w:tc>
          <w:tcPr>
            <w:tcW w:w="7009"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Basic net (loss) income per share</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700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used to compute basic and diluted net (loss) income per share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6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40,614,087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60"/>
              <w:ind w:left="0" w:right="0" w:hanging="0"/>
              <w:jc w:val="left"/>
              <w:rPr/>
            </w:pPr>
            <w:r>
              <w:rPr/>
              <w:t>​</w:t>
            </w:r>
          </w:p>
        </w:tc>
        <w:tc>
          <w:tcPr>
            <w:tcW w:w="1046" w:type="dxa"/>
            <w:tcBorders>
              <w:bottom w:val="double" w:sz="6" w:space="0" w:color="000000"/>
            </w:tcBorders>
            <w:shd w:fill="CCEEFF" w:val="clear"/>
            <w:tcMar>
              <w:bottom w:w="28" w:type="dxa"/>
            </w:tcMar>
            <w:vAlign w:val="center"/>
          </w:tcPr>
          <w:p>
            <w:pPr>
              <w:pStyle w:val="TableContents"/>
              <w:bidi w:val="0"/>
              <w:spacing w:lineRule="auto" w:line="307" w:before="0" w:after="1"/>
              <w:ind w:left="0" w:right="70" w:hanging="0"/>
              <w:jc w:val="right"/>
              <w:rPr>
                <w:rFonts w:ascii="Times New Roman;Times;serif" w:hAnsi="Times New Roman;Times;serif"/>
                <w:sz w:val="20"/>
              </w:rPr>
            </w:pPr>
            <w:r>
              <w:rPr>
                <w:rFonts w:ascii="Times New Roman;Times;serif" w:hAnsi="Times New Roman;Times;serif"/>
                <w:sz w:val="20"/>
              </w:rPr>
              <w:t>3,984,876</w:t>
            </w:r>
          </w:p>
        </w:tc>
      </w:tr>
    </w:tbl>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285" w:before="120" w:after="120"/>
        <w:ind w:left="0" w:right="0" w:hanging="0"/>
        <w:jc w:val="both"/>
        <w:rPr>
          <w:rFonts w:ascii="Times New Roman;Times;serif" w:hAnsi="Times New Roman;Times;serif"/>
          <w:sz w:val="18"/>
        </w:rPr>
      </w:pPr>
      <w:r>
        <w:rPr>
          <w:rFonts w:ascii="Helvetica;sans-serif" w:hAnsi="Helvetica;sans-serif"/>
          <w:i/>
          <w:sz w:val="19"/>
        </w:rPr>
        <w:t>The accompanying condensed consolidated financial statements have been prepared in accordance with generally accepted accounting principles in the United States of America (“U.S. GAAP”).</w:t>
      </w:r>
      <w:r>
        <w:rPr>
          <w:rFonts w:ascii="Times New Roman;Times;serif" w:hAnsi="Times New Roman;Times;serif"/>
          <w:sz w:val="18"/>
        </w:rPr>
        <w:t xml:space="preserve"> </w:t>
      </w:r>
      <w:r>
        <w:rPr>
          <w:rFonts w:ascii="Helvetica;sans-serif" w:hAnsi="Helvetica;sans-serif"/>
          <w:i/>
          <w:sz w:val="19"/>
        </w:rPr>
        <w:t>The condensed consolidated financial statements include the accounts of the Company and its controlled subsidiaries.</w:t>
      </w:r>
    </w:p>
    <w:p>
      <w:pPr>
        <w:pStyle w:val="TextBody"/>
        <w:bidi w:val="0"/>
        <w:spacing w:lineRule="auto" w:line="285" w:before="280" w:after="0"/>
        <w:ind w:left="0" w:right="0" w:hanging="0"/>
        <w:jc w:val="center"/>
        <w:rPr>
          <w:rFonts w:ascii="Helvetica;sans-serif" w:hAnsi="Helvetica;sans-serif"/>
          <w:sz w:val="22"/>
        </w:rPr>
      </w:pPr>
      <w:r>
        <w:rPr>
          <w:rFonts w:ascii="Helvetica;sans-serif" w:hAnsi="Helvetica;sans-serif"/>
          <w:sz w:val="22"/>
        </w:rPr>
        <w:t># # #</w:t>
      </w:r>
    </w:p>
    <w:p>
      <w:pPr>
        <w:pStyle w:val="TextBody"/>
        <w:bidi w:val="0"/>
        <w:spacing w:lineRule="auto" w:line="307" w:before="0" w:after="160"/>
        <w:ind w:left="0" w:right="0" w:hanging="0"/>
        <w:jc w:val="left"/>
        <w:rPr/>
      </w:pPr>
      <w:bookmarkStart w:id="31" w:name="TrailerStart4"/>
      <w:bookmarkEnd w:id="31"/>
      <w:r>
        <w:rPr/>
        <w:t>​</w:t>
      </w:r>
      <w:r>
        <mc:AlternateContent>
          <mc:Choice Requires="wps">
            <w:drawing>
              <wp:anchor behindDoc="0" distT="0" distB="0" distL="0" distR="0" simplePos="0" locked="0" layoutInCell="1" allowOverlap="1" relativeHeight="39">
                <wp:simplePos x="0" y="0"/>
                <wp:positionH relativeFrom="page">
                  <wp:posOffset>0</wp:posOffset>
                </wp:positionH>
                <wp:positionV relativeFrom="line">
                  <wp:posOffset>635</wp:posOffset>
                </wp:positionV>
                <wp:extent cx="6480175" cy="175260"/>
                <wp:effectExtent l="0" t="0" r="0" b="0"/>
                <wp:wrapNone/>
                <wp:docPr id="4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Courier New">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2275</Words>
  <Characters>13400</Characters>
  <CharactersWithSpaces>15842</CharactersWithSpaces>
  <Paragraphs>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