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5250-3_s1.htm"/>
        <w:bookmarkStart w:id="1" w:name="kstm26152503_s1"/>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7">
                <wp:simplePos x="0" y="0"/>
                <wp:positionH relativeFrom="page">
                  <wp:posOffset>304800</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July 8,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ind w:left="940" w:right="0" w:hanging="0"/>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8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7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SECURITIES AND EXCHANGE COMMISSION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before="8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90" w:before="11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S-1</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9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Under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12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16"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AEON BIOPHARMA, INC. </w:t>
      </w:r>
      <w:r>
        <w:rPr>
          <w:rFonts w:ascii="Times New Roman;Times;serif" w:hAnsi="Times New Roman;Times;serif"/>
          <w:b w:val="false"/>
          <w:i w:val="false"/>
          <w:caps w:val="false"/>
          <w:smallCaps w:val="false"/>
          <w:color w:val="000000"/>
          <w:sz w:val="28"/>
        </w:rPr>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pacing w:val="6"/>
          <w:sz w:val="28"/>
        </w:rPr>
        <w:t xml:space="preserve"> </w:t>
      </w:r>
    </w:p>
    <w:p>
      <w:pPr>
        <w:pStyle w:val="TextBody"/>
        <w:bidi w:val="0"/>
        <w:spacing w:before="166" w:after="283"/>
        <w:jc w:val="center"/>
        <w:rPr>
          <w:caps w:val="false"/>
          <w:smallCaps w:val="false"/>
          <w:color w:val="000000"/>
          <w:bdr w:val="single" w:sz="8" w:space="1" w:color="000000"/>
        </w:rPr>
      </w:pPr>
      <w:r>
        <w:rPr>
          <w:caps w:val="false"/>
          <w:smallCaps w:val="false"/>
          <w:color w:val="000000"/>
          <w:bdr w:val="single" w:sz="8" w:space="1" w:color="000000"/>
        </w:rPr>
        <w:t>​</w:t>
      </w:r>
    </w:p>
    <w:tbl>
      <w:tblPr>
        <w:tblW w:w="9141" w:type="dxa"/>
        <w:jc w:val="left"/>
        <w:tblInd w:w="540" w:type="dxa"/>
        <w:tblLayout w:type="fixed"/>
        <w:tblCellMar>
          <w:top w:w="0" w:type="dxa"/>
          <w:left w:w="0" w:type="dxa"/>
          <w:bottom w:w="0" w:type="dxa"/>
          <w:right w:w="0" w:type="dxa"/>
        </w:tblCellMar>
      </w:tblPr>
      <w:tblGrid>
        <w:gridCol w:w="124"/>
        <w:gridCol w:w="3058"/>
        <w:gridCol w:w="109"/>
        <w:gridCol w:w="109"/>
        <w:gridCol w:w="2989"/>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36"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b/>
                <w:sz w:val="18"/>
              </w:rPr>
            </w:pPr>
            <w:r>
              <w:rPr>
                <w:b/>
                <w:spacing w:val="-4"/>
                <w:sz w:val="18"/>
              </w:rPr>
              <w:t>2834</w:t>
            </w:r>
            <w:r>
              <w:rPr>
                <w:b/>
                <w:sz w:val="18"/>
              </w:rPr>
              <w:t xml:space="preserve"> </w:t>
            </w:r>
          </w:p>
          <w:p>
            <w:pPr>
              <w:pStyle w:val="TableContents"/>
              <w:bidi w:val="0"/>
              <w:spacing w:lineRule="atLeast" w:line="180" w:before="36" w:after="283"/>
              <w:jc w:val="center"/>
              <w:rPr/>
            </w:pPr>
            <w:r>
              <w:rPr>
                <w:spacing w:val="3"/>
              </w:rPr>
              <w:t>(Primary Standard Industrial</w:t>
            </w:r>
            <w:r>
              <w:rPr/>
              <w:t xml:space="preserve"> </w:t>
              <w:br/>
            </w:r>
            <w:r>
              <w:rPr>
                <w:spacing w:val="3"/>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85-3940478</w:t>
            </w:r>
            <w:r>
              <w:rPr>
                <w:b/>
                <w:sz w:val="18"/>
              </w:rPr>
              <w:t xml:space="preserve"> </w:t>
            </w:r>
          </w:p>
          <w:p>
            <w:pPr>
              <w:pStyle w:val="TableContents"/>
              <w:bidi w:val="0"/>
              <w:spacing w:lineRule="atLeast" w:line="180" w:before="36"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20"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5 Park Plaza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Suite 1750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Irvine, CA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(949) 354-6499</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70" w:before="16"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2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Alex Wilson, Chief Legal &amp; Strategy Officer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c/o AEON Biopharma, Inc.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5 Park Plaza, Suite 1750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Irvine, California 92614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(949) 354-6499 </w:t>
      </w:r>
    </w:p>
    <w:p>
      <w:pPr>
        <w:pStyle w:val="TextBody"/>
        <w:bidi w:val="0"/>
        <w:spacing w:lineRule="atLeast" w:line="170" w:before="16"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2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Copies to:</w:t>
      </w:r>
      <w:r>
        <w:rPr>
          <w:rFonts w:ascii="Times New Roman;Times;serif" w:hAnsi="Times New Roman;Times;serif"/>
          <w:b/>
          <w:i w:val="false"/>
          <w:caps w:val="false"/>
          <w:smallCaps w:val="false"/>
          <w:color w:val="000000"/>
          <w:spacing w:val="4"/>
          <w:sz w:val="18"/>
        </w:rPr>
        <w:t xml:space="preserve"> </w:t>
      </w:r>
    </w:p>
    <w:tbl>
      <w:tblPr>
        <w:tblW w:w="6930" w:type="dxa"/>
        <w:jc w:val="left"/>
        <w:tblInd w:w="540" w:type="dxa"/>
        <w:tblLayout w:type="fixed"/>
        <w:tblCellMar>
          <w:top w:w="0" w:type="dxa"/>
          <w:left w:w="0" w:type="dxa"/>
          <w:bottom w:w="0" w:type="dxa"/>
          <w:right w:w="0" w:type="dxa"/>
        </w:tblCellMar>
      </w:tblPr>
      <w:tblGrid>
        <w:gridCol w:w="124"/>
        <w:gridCol w:w="2944"/>
        <w:gridCol w:w="109"/>
        <w:gridCol w:w="109"/>
        <w:gridCol w:w="3490"/>
        <w:gridCol w:w="154"/>
      </w:tblGrid>
      <w:tr>
        <w:trPr/>
        <w:tc>
          <w:tcPr>
            <w:tcW w:w="124" w:type="dxa"/>
            <w:tcBorders/>
            <w:vAlign w:val="center"/>
          </w:tcPr>
          <w:p>
            <w:pPr>
              <w:pStyle w:val="TableContents"/>
              <w:bidi w:val="0"/>
              <w:spacing w:before="0" w:after="283"/>
              <w:jc w:val="left"/>
              <w:rPr/>
            </w:pPr>
            <w:r>
              <w:rPr/>
              <w:t>​</w:t>
            </w:r>
          </w:p>
        </w:tc>
        <w:tc>
          <w:tcPr>
            <w:tcW w:w="2944" w:type="dxa"/>
            <w:tcBorders/>
            <w:vAlign w:val="center"/>
          </w:tcPr>
          <w:p>
            <w:pPr>
              <w:pStyle w:val="TableContents"/>
              <w:bidi w:val="0"/>
              <w:spacing w:lineRule="atLeast" w:line="216" w:before="0" w:after="0"/>
              <w:jc w:val="center"/>
              <w:rPr/>
            </w:pPr>
            <w:r>
              <w:rPr>
                <w:spacing w:val="-4"/>
              </w:rPr>
              <w:t>David E. Danovitch</w:t>
            </w:r>
            <w:r>
              <w:rPr/>
              <w:t xml:space="preserve"> </w:t>
              <w:br/>
            </w:r>
            <w:r>
              <w:rPr>
                <w:spacing w:val="-4"/>
              </w:rPr>
              <w:t>Angela Gomes</w:t>
            </w:r>
            <w:r>
              <w:rPr/>
              <w:t xml:space="preserve"> </w:t>
              <w:br/>
            </w:r>
            <w:r>
              <w:rPr>
                <w:spacing w:val="-4"/>
              </w:rPr>
              <w:t>Sullivan &amp; Worcester LLP</w:t>
            </w:r>
            <w:r>
              <w:rPr/>
              <w:t xml:space="preserve"> </w:t>
              <w:br/>
            </w:r>
            <w:r>
              <w:rPr>
                <w:spacing w:val="-4"/>
              </w:rPr>
              <w:t>1251 Avenue of the Americas</w:t>
            </w:r>
            <w:r>
              <w:rPr/>
              <w:t xml:space="preserve"> </w:t>
              <w:br/>
            </w:r>
            <w:r>
              <w:rPr>
                <w:spacing w:val="-4"/>
              </w:rPr>
              <w:t>New York, New York 10020</w:t>
            </w:r>
            <w:r>
              <w:rPr/>
              <w:t xml:space="preserve"> </w:t>
              <w:br/>
            </w:r>
            <w:r>
              <w:rPr>
                <w:spacing w:val="-4"/>
              </w:rPr>
              <w:t>(212) 660-3060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90" w:type="dxa"/>
            <w:tcBorders/>
            <w:vAlign w:val="center"/>
          </w:tcPr>
          <w:p>
            <w:pPr>
              <w:pStyle w:val="TableContents"/>
              <w:bidi w:val="0"/>
              <w:spacing w:lineRule="atLeast" w:line="216" w:before="0" w:after="0"/>
              <w:jc w:val="center"/>
              <w:rPr/>
            </w:pPr>
            <w:r>
              <w:rPr>
                <w:spacing w:val="-4"/>
              </w:rPr>
              <w:t xml:space="preserve">Jonathan Zimmerman </w:t>
            </w:r>
            <w:r>
              <w:rPr/>
              <w:br/>
            </w:r>
            <w:r>
              <w:rPr>
                <w:spacing w:val="-4"/>
              </w:rPr>
              <w:t>Tyler Vivian</w:t>
            </w:r>
            <w:r>
              <w:rPr/>
              <w:t xml:space="preserve"> </w:t>
              <w:br/>
            </w:r>
            <w:r>
              <w:rPr>
                <w:spacing w:val="-4"/>
              </w:rPr>
              <w:t>Faegre Drinker Biddle &amp; Reath LLP</w:t>
            </w:r>
            <w:r>
              <w:rPr/>
              <w:br/>
            </w:r>
            <w:r>
              <w:rPr>
                <w:spacing w:val="-4"/>
              </w:rPr>
              <w:t>220 Wells Fargo Center</w:t>
            </w:r>
            <w:r>
              <w:rPr/>
              <w:br/>
            </w:r>
            <w:r>
              <w:rPr>
                <w:spacing w:val="-4"/>
              </w:rPr>
              <w:t>90 South 7th Street</w:t>
            </w:r>
            <w:r>
              <w:rPr/>
              <w:br/>
            </w:r>
            <w:r>
              <w:rPr>
                <w:spacing w:val="-4"/>
              </w:rPr>
              <w:t>Minneapolis, MN 55402</w:t>
            </w:r>
            <w:r>
              <w:rPr/>
              <w:br/>
            </w:r>
            <w:r>
              <w:rPr>
                <w:spacing w:val="-4"/>
              </w:rPr>
              <w:t>(612) 766-7000</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Approximate date of commencement of proposed sale to the public: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As soon as practicable after the effective date of this Registration Statement.</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855" w:type="dxa"/>
        <w:jc w:val="left"/>
        <w:tblInd w:w="540" w:type="dxa"/>
        <w:tblLayout w:type="fixed"/>
        <w:tblCellMar>
          <w:top w:w="0" w:type="dxa"/>
          <w:left w:w="0" w:type="dxa"/>
          <w:bottom w:w="0" w:type="dxa"/>
          <w:right w:w="0" w:type="dxa"/>
        </w:tblCellMar>
      </w:tblPr>
      <w:tblGrid>
        <w:gridCol w:w="124"/>
        <w:gridCol w:w="2338"/>
        <w:gridCol w:w="109"/>
        <w:gridCol w:w="109"/>
        <w:gridCol w:w="376"/>
        <w:gridCol w:w="109"/>
        <w:gridCol w:w="109"/>
        <w:gridCol w:w="2833"/>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spacing w:val="4"/>
              </w:rPr>
            </w:pPr>
            <w:r>
              <w:rPr>
                <w:spacing w:val="4"/>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4"/>
              </w:rPr>
            </w:pPr>
            <w:r>
              <w:rPr>
                <w:spacing w:val="4"/>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3" w:type="dxa"/>
            <w:tcBorders/>
            <w:vAlign w:val="center"/>
          </w:tcPr>
          <w:p>
            <w:pPr>
              <w:pStyle w:val="TableContents"/>
              <w:bidi w:val="0"/>
              <w:spacing w:before="0" w:after="283"/>
              <w:jc w:val="left"/>
              <w:rPr>
                <w:spacing w:val="4"/>
              </w:rPr>
            </w:pPr>
            <w:r>
              <w:rPr>
                <w:spacing w:val="4"/>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4"/>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20" w:after="283"/>
        <w:ind w:left="540" w:right="0" w:firstLine="400"/>
        <w:jc w:val="both"/>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90" w:before="60" w:after="283"/>
        <w:ind w:left="540" w:right="0" w:firstLine="400"/>
        <w:jc w:val="both"/>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r>
        <w:rPr>
          <w:rFonts w:ascii="Times New Roman;Times;serif" w:hAnsi="Times New Roman;Times;serif"/>
          <w:b/>
          <w:i w:val="false"/>
          <w:caps w:val="false"/>
          <w:smallCaps w:val="false"/>
          <w:color w:val="000000"/>
          <w:sz w:val="18"/>
        </w:rPr>
        <w:t xml:space="preserve"> </w:t>
      </w:r>
    </w:p>
    <w:p>
      <w:pPr>
        <w:pStyle w:val="TextBody"/>
        <w:bidi w:val="0"/>
        <w:spacing w:before="8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557" w:after="437"/>
        <w:ind w:left="2562" w:right="0" w:hanging="0"/>
        <w:jc w:val="left"/>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PRELIMINARY PROSPECTUS DATED JULY 8, 2026</w:t>
      </w:r>
      <w:r>
        <w:rPr>
          <w:rFonts w:ascii="Times New Roman;Times;serif" w:hAnsi="Times New Roman;Times;serif"/>
          <w:b/>
          <w:i w:val="false"/>
          <w:caps w:val="false"/>
          <w:smallCaps w:val="false"/>
          <w:color w:val="FC0014"/>
          <w:sz w:val="20"/>
        </w:rPr>
        <w:t xml:space="preserve"> </w:t>
      </w:r>
    </w:p>
    <w:p>
      <w:pPr>
        <w:pStyle w:val="TextBody"/>
        <w:bidi w:val="0"/>
        <w:spacing w:before="124" w:after="283"/>
        <w:jc w:val="center"/>
        <w:rPr>
          <w:caps w:val="false"/>
          <w:smallCaps w:val="false"/>
          <w:color w:val="000000"/>
        </w:rPr>
      </w:pPr>
      <w:r>
        <w:rPr>
          <w:caps w:val="false"/>
          <w:smallCaps w:val="false"/>
          <w:color w:val="000000"/>
        </w:rPr>
        <w:drawing>
          <wp:inline distT="0" distB="0" distL="0" distR="0">
            <wp:extent cx="2562225" cy="1066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562225" cy="106680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21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AEON BIOPHARMA,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00" w:before="160" w:after="283"/>
        <w:jc w:val="center"/>
        <w:rPr>
          <w:rFonts w:ascii="Times New Roman;Times;serif" w:hAnsi="Times New Roman;Times;serif"/>
          <w:b/>
          <w:i w:val="false"/>
          <w:caps w:val="false"/>
          <w:smallCaps w:val="false"/>
          <w:color w:val="000000"/>
          <w:sz w:val="26"/>
        </w:rPr>
      </w:pPr>
      <w:r>
        <w:rPr>
          <w:rFonts w:ascii="Times New Roman;Times;serif" w:hAnsi="Times New Roman;Times;serif"/>
          <w:b/>
          <w:i w:val="false"/>
          <w:caps w:val="false"/>
          <w:smallCaps w:val="false"/>
          <w:color w:val="000000"/>
          <w:spacing w:val="-5"/>
          <w:sz w:val="26"/>
        </w:rPr>
        <w:t xml:space="preserve">17,479,373 Shares of Common Stock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Pre-Funded Warrants to purchase 17,479,373 Shares of Common Stock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Two-Year Milestone Warrants to purchase (i) 17,479,373 Shares of Common Stock or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(ii) Pre-Funded Warrants to purchase 17,479,373 Shares of Common Stock in lieu thereof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Five-Year Milestone Warrants to purchase (i) 17,479,373 Shares of Common Stock or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(ii) Pre-Funded Warrants to purchase 17,479,373 Shares of Common Stock in lieu thereof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52,438,119 Shares of Common Stock Underlying the Pre-Funded Warrants,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 xml:space="preserve">the Two-Year Milestone Warrants (or Underlying the Pre-Funded Warrants Issued Upon Exercise Thereof) and the Five-Year Milestone Warrants </w:t>
      </w:r>
      <w:r>
        <w:rPr>
          <w:rFonts w:ascii="Times New Roman;Times;serif" w:hAnsi="Times New Roman;Times;serif"/>
          <w:b/>
          <w:i w:val="false"/>
          <w:caps w:val="false"/>
          <w:smallCaps w:val="false"/>
          <w:color w:val="000000"/>
          <w:sz w:val="26"/>
        </w:rPr>
        <w:br/>
      </w:r>
      <w:r>
        <w:rPr>
          <w:rFonts w:ascii="Times New Roman;Times;serif" w:hAnsi="Times New Roman;Times;serif"/>
          <w:b/>
          <w:i w:val="false"/>
          <w:caps w:val="false"/>
          <w:smallCaps w:val="false"/>
          <w:color w:val="000000"/>
          <w:spacing w:val="-5"/>
          <w:sz w:val="26"/>
        </w:rPr>
        <w:t>(or Underlying the Pre-Funded Warrants Issued Upon Exercise Thereof)</w:t>
      </w:r>
      <w:r>
        <w:rPr>
          <w:rFonts w:ascii="Times New Roman;Times;serif" w:hAnsi="Times New Roman;Times;serif"/>
          <w:b/>
          <w:i w:val="false"/>
          <w:caps w:val="false"/>
          <w:smallCaps w:val="false"/>
          <w:color w:val="000000"/>
          <w:sz w:val="26"/>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6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pursuant to this prospectus 17,479,373 shares of our Class A common stock, $0.0001 par value per share (the “Common Stock”), at an assumed public offering price of $0.7151 per share, which is equal to the closing price per share of our Common Stock on the New York Stock Exchange American (the “NYSE American”), on July 2, 2026, in a firm commitment underwritten offering. We are also offering, together with each share of Common Stock (or Pre-Funded Warrant, as defined below), (i) one Two-Year Milestone Warrant (as defined below) exercisable for one share of Common Stock or one Pre-Funded Warrant and (ii) one Five-Year Milestone Warrant (as defined below) exercisable for one share of Common Stock or one Pre-Funded Warrant, in each case at the applicable exercise price described in this prospectus. </w:t>
      </w:r>
    </w:p>
    <w:p>
      <w:pPr>
        <w:pStyle w:val="TextBody"/>
        <w:bidi w:val="0"/>
        <w:spacing w:lineRule="atLeast" w:line="230" w:before="9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offering to each purchaser whose purchase of shares of our Common Stock in this offering would otherwise result in the purchaser, together with its affiliates and certain related parties, beneficially owning more than 4.99% (or, at the election of the holder, 9.99%) of our outstanding shares of Common Stock immediately following the consummation of this offering, the opportunity to purchase, if the purchaser so chooses, pre-funded warrants to purchase shares of Common Stock (the “Pre-Funded Warrants”) in lieu of shares of Common Stock. Each Pre-Funded Warrant will be exercisable for one share of our Common Stock. Pre-Funded Warrants will be exercisable upon issuance and will expire when exercised in full. The purchase price of each Pre-Funded Warrant will equal the price per share of Common Stock being sold to the public in this offering, minus $0.0001, and the exercise price of each Pre-Funded Warrant will be $0.0001 per share. For each Pre-Funded Warrant that we sell, the number of shares of our Common Stock that we are offering will be decreased on a one-for-one basis. The Pre-Funded Warrants will not be listed on the NYSE American and are not expected to trade in any market; however, we anticipate that the shares of our Common Stock to be issued upon exercise of the Pre-Funded Warrants will trade on the NYSE American. This prospectus also relates to the shares of Common Stock issuable upon the exercise of the Pre-Funded Warrants. </w:t>
      </w:r>
    </w:p>
    <w:p>
      <w:pPr>
        <w:pStyle w:val="TextBody"/>
        <w:bidi w:val="0"/>
        <w:spacing w:lineRule="atLeast" w:line="220" w:before="90" w:after="283"/>
        <w:ind w:left="126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Together with each share of Common Stock (or Pre-Funded Warrant) offered in this offering, we are also offering (i) two-year milestone warrants to purchase up to 17,479,373 shares of Common Stock (the “Two-Year Milestone Warrants”) and (ii) five-year milestone warrants to purchase up to 17,479,373 shares of Common Stock (the “Five-Year Milestone Warrants" and, together with the Two-Year Milestone Warrants, the “Milestone Warrants”; and the Milestone Warrants, together with the Pre-Funded Warrants, the “Warrants”), in each case representing warrant coverage equal to 100% of the aggregate number of shares of Common Stock and Pre-Funded Warrants sold in this offering (for a total of 200% warrant coverage). The Two-Year Milestone Warrant will be immediately exercisable upon issuance at an assumed exercise price of $0.7151 per share or $0.7150 per Pre-Funded Warrant (representing 100% of the assumed public offering price of $0.7151 per share, the last reported sale price of our common stock as reported on the NYSE American on July 2, 2026 (less the $0.0001 per share exercise price in the case of the Pre-Funded Warrant)) (or per Pre-Funded Warrant) and the Five-Year Milestone Warrant will be immediately exercisable upon issuance at an assumed exercise price of $0.8224 per share (representing 115% of the assumed public offering price). At the option of the holder, each Milestone Warrant may be exercised for either one share of Common Stock or one Pre-Funded Warrant. Each Two-Year Milestone Warrant will expire on the earliest of (x) the second anniversary of the date of issuance and (y) 45 days after our public announcement that we have received Type 2B meeting minutes from the U.S. Food and Drug Administration (“FDA”) that do not preclude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557" w:after="437"/>
        <w:ind w:left="54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advancement of ABP-450 toward a Biologics License Application under the Section 351(k) biosimilar pathway. Each Five-Year Milestone Warrant will expire on the earliest of (x) the fifth anniversary of the date of issuance and (y) 45 days following our public announcement of the initiation of a Phase 3 clinical equivalence trial of ABP-450 as a biosimilar to BOTOX</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The Milestone Warrants and the Pre-Funded Warrants that are issuable upon exercise thereof will not be listed on the NYSE American and are not expected to trade in any market; however, we anticipate that the shares of our Common Stock to be issued upon exercise of the Milestone Warrants will trade on the NYSE American. This prospectus also relates to the shares of Common Stock issuable upon the exercise of the Milestone Warrants. The Milestone Warrants and the Pre-Funded Warrants will be issued in accordance with, and subject to the terms of, a warrant agency agreement (the “Warrant Agency Agreement”) to be entered into with Continental Stock Transfer &amp; Trust Company, as warrant agent.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10" w:before="9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NYSE American under the symbol “AEON”. On July 2, 2026, the closing price of our Common Stock was $0.7151. There is no established trading market for the Warrants, and we do not expect a market to develop for any of them. We do not intend to apply for a listing of the Warrants on any securities exchange or other nationally recognized trading system. Without an active trading market, the liquidity of the Warrants will be limited. </w:t>
      </w:r>
    </w:p>
    <w:p>
      <w:pPr>
        <w:pStyle w:val="TextBody"/>
        <w:bidi w:val="0"/>
        <w:spacing w:lineRule="atLeast" w:line="210" w:before="9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Common Stock and numbers are based on an assumed public offering price of $0.7151 per share, and $0.7150 per Pre-Funded Warrant. The actual public offering price per share and the actual public offering prices per Pre-Funded Warrant will be determined through negotiation among us, Lake Street Capital Markets, LLC, the representative of the several underwriters in this offering (the “Representative”), and the investors in the offering based on market conditions at the time of pricing, and may be at a discount to the current market price of our Common Stock. Therefore, the recent market price per share of Common Stock used throughout this prospectus as an assumed public offering price may not be indicative of the final offering price.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50" w:after="283"/>
        <w:ind w:left="540" w:right="0" w:firstLine="400"/>
        <w:jc w:val="both"/>
        <w:rPr/>
      </w:pPr>
      <w:r>
        <w:rPr>
          <w:rFonts w:ascii="Times New Roman;Times;serif" w:hAnsi="Times New Roman;Times;serif"/>
          <w:b/>
          <w:i w:val="false"/>
          <w:caps w:val="false"/>
          <w:smallCaps w:val="false"/>
          <w:color w:val="000000"/>
          <w:spacing w:val="-4"/>
          <w:sz w:val="20"/>
        </w:rPr>
        <w:t xml:space="preserve">INVESTING IN OUR SECURITIES INVOLVES A HIGH DEGREE OF RISK. THESE RISKS ARE DESCRIBED IN THE “RISK FACTORS” SECTION ON PAGE </w:t>
      </w:r>
      <w:hyperlink w:anchor="tRIFA">
        <w:r>
          <w:rPr>
            <w:rStyle w:val="InternetLink"/>
          </w:rPr>
          <w:t>9</w:t>
        </w:r>
      </w:hyperlink>
      <w:r>
        <w:rPr>
          <w:rFonts w:ascii="Times New Roman;Times;serif" w:hAnsi="Times New Roman;Times;serif"/>
          <w:b/>
          <w:i w:val="false"/>
          <w:caps w:val="false"/>
          <w:smallCaps w:val="false"/>
          <w:color w:val="000000"/>
          <w:spacing w:val="-4"/>
          <w:sz w:val="20"/>
        </w:rPr>
        <w:t xml:space="preserve"> OF THIS PROSPECTUS. YOU SHOULD ALSO CONSIDER THE RISK FACTORS DESCRIBED OR REFERRED TO IN ANY DOCUMENTS INCORPORATED BY REFERENCE IN THIS PROSPECTUS, AND IN ANY APPLICABLE PROSPECTUS SUPPLEMENT, BEFORE INVESTING IN THESE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90" w:after="283"/>
        <w:ind w:left="540"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(the “SEC”) nor any state securities commission has approved or disapproved of these securities or passed upon the accuracy or adequacy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tbl>
      <w:tblPr>
        <w:tblW w:w="9665" w:type="dxa"/>
        <w:jc w:val="left"/>
        <w:tblInd w:w="540" w:type="dxa"/>
        <w:tblLayout w:type="fixed"/>
        <w:tblCellMar>
          <w:top w:w="0" w:type="dxa"/>
          <w:left w:w="0" w:type="dxa"/>
          <w:bottom w:w="28" w:type="dxa"/>
          <w:right w:w="0" w:type="dxa"/>
        </w:tblCellMar>
      </w:tblPr>
      <w:tblGrid>
        <w:gridCol w:w="3696"/>
        <w:gridCol w:w="109"/>
        <w:gridCol w:w="109"/>
        <w:gridCol w:w="141"/>
        <w:gridCol w:w="294"/>
        <w:gridCol w:w="1285"/>
        <w:gridCol w:w="143"/>
        <w:gridCol w:w="109"/>
        <w:gridCol w:w="109"/>
        <w:gridCol w:w="141"/>
        <w:gridCol w:w="294"/>
        <w:gridCol w:w="1285"/>
        <w:gridCol w:w="143"/>
        <w:gridCol w:w="109"/>
        <w:gridCol w:w="109"/>
        <w:gridCol w:w="109"/>
        <w:gridCol w:w="226"/>
        <w:gridCol w:w="986"/>
        <w:gridCol w:w="109"/>
        <w:gridCol w:w="159"/>
      </w:tblGrid>
      <w:tr>
        <w:trPr/>
        <w:tc>
          <w:tcPr>
            <w:tcW w:w="36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63" w:type="dxa"/>
            <w:gridSpan w:val="4"/>
            <w:tcBorders>
              <w:bottom w:val="single" w:sz="2" w:space="0" w:color="000000"/>
            </w:tcBorders>
            <w:vAlign w:val="center"/>
          </w:tcPr>
          <w:p>
            <w:pPr>
              <w:pStyle w:val="TableContents"/>
              <w:bidi w:val="0"/>
              <w:spacing w:before="0" w:after="0"/>
              <w:jc w:val="center"/>
              <w:rPr/>
            </w:pPr>
            <w:r>
              <w:rPr>
                <w:spacing w:val="-3"/>
              </w:rPr>
              <w:t xml:space="preserve">Per Share and </w:t>
            </w:r>
            <w:r>
              <w:rPr/>
              <w:br/>
            </w:r>
            <w:r>
              <w:rPr>
                <w:spacing w:val="-3"/>
              </w:rPr>
              <w:t>Accompanying</w:t>
            </w:r>
            <w:r>
              <w:rPr/>
              <w:t xml:space="preserve"> </w:t>
              <w:br/>
            </w:r>
            <w:r>
              <w:rPr>
                <w:spacing w:val="-3"/>
              </w:rPr>
              <w:t xml:space="preserve">Milestone Warrants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63" w:type="dxa"/>
            <w:gridSpan w:val="4"/>
            <w:tcBorders>
              <w:bottom w:val="single" w:sz="2" w:space="0" w:color="000000"/>
            </w:tcBorders>
            <w:vAlign w:val="center"/>
          </w:tcPr>
          <w:p>
            <w:pPr>
              <w:pStyle w:val="TableContents"/>
              <w:bidi w:val="0"/>
              <w:spacing w:before="0" w:after="0"/>
              <w:jc w:val="center"/>
              <w:rPr/>
            </w:pPr>
            <w:r>
              <w:rPr>
                <w:spacing w:val="-3"/>
              </w:rPr>
              <w:t xml:space="preserve">Per Pre-Funded </w:t>
            </w:r>
            <w:r>
              <w:rPr/>
              <w:br/>
            </w:r>
            <w:r>
              <w:rPr>
                <w:spacing w:val="-3"/>
              </w:rPr>
              <w:t xml:space="preserve">Warrant and </w:t>
            </w:r>
            <w:r>
              <w:rPr/>
              <w:br/>
            </w:r>
            <w:r>
              <w:rPr>
                <w:spacing w:val="-3"/>
              </w:rPr>
              <w:t xml:space="preserve">Accompanying </w:t>
            </w:r>
            <w:r>
              <w:rPr/>
              <w:br/>
            </w:r>
            <w:r>
              <w:rPr>
                <w:spacing w:val="-3"/>
              </w:rPr>
              <w:t>Milestone Warrants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0"/>
              <w:jc w:val="left"/>
              <w:rPr>
                <w:spacing w:val="4"/>
              </w:rPr>
            </w:pPr>
            <w:r>
              <w:rPr>
                <w:spacing w:val="4"/>
              </w:rPr>
              <w:t xml:space="preserve">Public offering price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4" w:type="dxa"/>
            <w:tcBorders/>
            <w:shd w:fill="CCEEFF" w:val="clear"/>
            <w:tcMar>
              <w:bottom w:w="0" w:type="dxa"/>
            </w:tcMar>
            <w:vAlign w:val="center"/>
          </w:tcPr>
          <w:p>
            <w:pPr>
              <w:pStyle w:val="TableContents"/>
              <w:bidi w:val="0"/>
              <w:spacing w:before="0" w:after="283"/>
              <w:jc w:val="right"/>
              <w:rPr/>
            </w:pPr>
            <w:r>
              <w:rPr/>
              <w:t>$</w:t>
            </w:r>
          </w:p>
        </w:tc>
        <w:tc>
          <w:tcPr>
            <w:tcW w:w="1285" w:type="dxa"/>
            <w:tcBorders/>
            <w:shd w:fill="CCEEFF" w:val="clear"/>
            <w:tcMar>
              <w:bottom w:w="0" w:type="dxa"/>
            </w:tcMar>
            <w:vAlign w:val="center"/>
          </w:tcPr>
          <w:p>
            <w:pPr>
              <w:pStyle w:val="TableContents"/>
              <w:bidi w:val="0"/>
              <w:spacing w:before="0" w:after="283"/>
              <w:jc w:val="righ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4" w:type="dxa"/>
            <w:tcBorders/>
            <w:shd w:fill="CCEEFF" w:val="clear"/>
            <w:tcMar>
              <w:bottom w:w="0" w:type="dxa"/>
            </w:tcMar>
            <w:vAlign w:val="center"/>
          </w:tcPr>
          <w:p>
            <w:pPr>
              <w:pStyle w:val="TableContents"/>
              <w:bidi w:val="0"/>
              <w:spacing w:before="0" w:after="283"/>
              <w:jc w:val="right"/>
              <w:rPr/>
            </w:pPr>
            <w:r>
              <w:rPr/>
              <w:t>$</w:t>
            </w:r>
          </w:p>
        </w:tc>
        <w:tc>
          <w:tcPr>
            <w:tcW w:w="1285" w:type="dxa"/>
            <w:tcBorders/>
            <w:shd w:fill="CCEEFF" w:val="clear"/>
            <w:tcMar>
              <w:bottom w:w="0" w:type="dxa"/>
            </w:tcMar>
            <w:vAlign w:val="center"/>
          </w:tcPr>
          <w:p>
            <w:pPr>
              <w:pStyle w:val="TableContents"/>
              <w:bidi w:val="0"/>
              <w:spacing w:before="0" w:after="283"/>
              <w:jc w:val="right"/>
              <w:rPr/>
            </w:pPr>
            <w:r>
              <w:rPr/>
              <w:t>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3696" w:type="dxa"/>
            <w:tcBorders/>
            <w:tcMar>
              <w:bottom w:w="0" w:type="dxa"/>
            </w:tcMar>
            <w:vAlign w:val="center"/>
          </w:tcPr>
          <w:p>
            <w:pPr>
              <w:pStyle w:val="TableContents"/>
              <w:bidi w:val="0"/>
              <w:spacing w:before="0" w:after="0"/>
              <w:jc w:val="left"/>
              <w:rPr/>
            </w:pPr>
            <w:r>
              <w:rPr>
                <w:spacing w:val="4"/>
              </w:rPr>
              <w:t>Underwriting discounts and commissions</w:t>
            </w:r>
            <w:r>
              <w:rPr>
                <w:spacing w:val="3"/>
                <w:sz w:val="12"/>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4" w:type="dxa"/>
            <w:tcBorders/>
            <w:tcMar>
              <w:bottom w:w="0" w:type="dxa"/>
            </w:tcMar>
            <w:vAlign w:val="center"/>
          </w:tcPr>
          <w:p>
            <w:pPr>
              <w:pStyle w:val="TableContents"/>
              <w:bidi w:val="0"/>
              <w:spacing w:before="0" w:after="283"/>
              <w:jc w:val="right"/>
              <w:rPr/>
            </w:pPr>
            <w:r>
              <w:rPr/>
              <w:t>$</w:t>
            </w:r>
          </w:p>
        </w:tc>
        <w:tc>
          <w:tcPr>
            <w:tcW w:w="1285" w:type="dxa"/>
            <w:tcBorders/>
            <w:tcMar>
              <w:bottom w:w="0" w:type="dxa"/>
            </w:tcMar>
            <w:vAlign w:val="center"/>
          </w:tcPr>
          <w:p>
            <w:pPr>
              <w:pStyle w:val="TableContents"/>
              <w:bidi w:val="0"/>
              <w:spacing w:before="0" w:after="283"/>
              <w:jc w:val="left"/>
              <w:rPr>
                <w:sz w:val="4"/>
                <w:szCs w:val="4"/>
              </w:rPr>
            </w:pPr>
            <w:r>
              <w:rPr>
                <w:sz w:val="4"/>
                <w:szCs w:val="4"/>
              </w:rPr>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294" w:type="dxa"/>
            <w:tcBorders/>
            <w:tcMar>
              <w:bottom w:w="0" w:type="dxa"/>
            </w:tcMar>
            <w:vAlign w:val="center"/>
          </w:tcPr>
          <w:p>
            <w:pPr>
              <w:pStyle w:val="TableContents"/>
              <w:bidi w:val="0"/>
              <w:spacing w:before="0" w:after="283"/>
              <w:jc w:val="right"/>
              <w:rPr/>
            </w:pPr>
            <w:r>
              <w:rPr/>
              <w:t>$</w:t>
            </w:r>
          </w:p>
        </w:tc>
        <w:tc>
          <w:tcPr>
            <w:tcW w:w="1285" w:type="dxa"/>
            <w:tcBorders/>
            <w:tcMar>
              <w:bottom w:w="0" w:type="dxa"/>
            </w:tcMar>
            <w:vAlign w:val="center"/>
          </w:tcPr>
          <w:p>
            <w:pPr>
              <w:pStyle w:val="TableContents"/>
              <w:bidi w:val="0"/>
              <w:spacing w:before="0" w:after="283"/>
              <w:jc w:val="left"/>
              <w:rPr>
                <w:sz w:val="4"/>
                <w:szCs w:val="4"/>
              </w:rPr>
            </w:pPr>
            <w:r>
              <w:rPr>
                <w:sz w:val="4"/>
                <w:szCs w:val="4"/>
              </w:rPr>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0"/>
              <w:jc w:val="left"/>
              <w:rPr>
                <w:spacing w:val="4"/>
              </w:rPr>
            </w:pPr>
            <w:r>
              <w:rPr>
                <w:spacing w:val="4"/>
              </w:rPr>
              <w:t xml:space="preserve">Proceeds to us, before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4" w:type="dxa"/>
            <w:tcBorders/>
            <w:shd w:fill="CCEEFF" w:val="clear"/>
            <w:tcMar>
              <w:bottom w:w="0" w:type="dxa"/>
            </w:tcMar>
            <w:vAlign w:val="center"/>
          </w:tcPr>
          <w:p>
            <w:pPr>
              <w:pStyle w:val="TableContents"/>
              <w:bidi w:val="0"/>
              <w:spacing w:before="0" w:after="283"/>
              <w:jc w:val="right"/>
              <w:rPr/>
            </w:pPr>
            <w:r>
              <w:rPr/>
              <w:t>$</w:t>
            </w:r>
          </w:p>
        </w:tc>
        <w:tc>
          <w:tcPr>
            <w:tcW w:w="128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1" w:type="dxa"/>
            <w:tcBorders/>
            <w:shd w:fill="CCEEFF" w:val="clear"/>
            <w:tcMar>
              <w:bottom w:w="0" w:type="dxa"/>
            </w:tcMar>
            <w:vAlign w:val="center"/>
          </w:tcPr>
          <w:p>
            <w:pPr>
              <w:pStyle w:val="TableContents"/>
              <w:bidi w:val="0"/>
              <w:spacing w:before="0" w:after="283"/>
              <w:jc w:val="left"/>
              <w:rPr/>
            </w:pPr>
            <w:r>
              <w:rPr/>
              <w:t>​</w:t>
            </w:r>
          </w:p>
        </w:tc>
        <w:tc>
          <w:tcPr>
            <w:tcW w:w="294" w:type="dxa"/>
            <w:tcBorders/>
            <w:shd w:fill="CCEEFF" w:val="clear"/>
            <w:tcMar>
              <w:bottom w:w="0" w:type="dxa"/>
            </w:tcMar>
            <w:vAlign w:val="center"/>
          </w:tcPr>
          <w:p>
            <w:pPr>
              <w:pStyle w:val="TableContents"/>
              <w:bidi w:val="0"/>
              <w:spacing w:before="0" w:after="283"/>
              <w:jc w:val="right"/>
              <w:rPr/>
            </w:pPr>
            <w:r>
              <w:rPr/>
              <w:t>$</w:t>
            </w:r>
          </w:p>
        </w:tc>
        <w:tc>
          <w:tcPr>
            <w:tcW w:w="128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6" w:before="154" w:after="0"/>
        <w:ind w:left="940" w:right="0" w:hanging="0"/>
        <w:jc w:val="both"/>
        <w:rPr/>
      </w:pPr>
      <w:r>
        <w:rPr>
          <w:rFonts w:ascii="Times New Roman;Times;serif" w:hAnsi="Times New Roman;Times;serif"/>
          <w:b w:val="false"/>
          <w:i w:val="false"/>
          <w:caps w:val="false"/>
          <w:smallCaps w:val="false"/>
          <w:color w:val="000000"/>
          <w:spacing w:val="4"/>
          <w:sz w:val="20"/>
        </w:rPr>
        <w:t xml:space="preserve">Assumes no exercise of the Representative’s over-allotment option described below. The Company has agreed to pay to the Underwriters in this offering (the “Underwriters”) an underwriting discount as follows (i) 7.0% of the gross proceeds of this offering up to and including $20,000,000 and (ii) 6.0% of the gross proceeds of this offering in excess of $20,000,000; provided, however, that with respect to proceeds raised from certain specified investors, the underwriting discount will be equal to 5.0% of gross proceeds. See “Underwriting” on page </w:t>
      </w:r>
      <w:hyperlink w:anchor="tUND">
        <w:r>
          <w:rPr>
            <w:rStyle w:val="InternetLink"/>
          </w:rPr>
          <w:t>31</w:t>
        </w:r>
      </w:hyperlink>
      <w:r>
        <w:rPr>
          <w:rFonts w:ascii="Times New Roman;Times;serif" w:hAnsi="Times New Roman;Times;serif"/>
          <w:b w:val="false"/>
          <w:i w:val="false"/>
          <w:caps w:val="false"/>
          <w:smallCaps w:val="false"/>
          <w:color w:val="000000"/>
          <w:spacing w:val="4"/>
          <w:sz w:val="20"/>
        </w:rPr>
        <w:t xml:space="preserve"> for additional information regarding underwriting compensation. </w:t>
      </w:r>
      <w:r>
        <mc:AlternateContent>
          <mc:Choice Requires="wps">
            <w:drawing>
              <wp:anchor behindDoc="0" distT="9779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20" w:before="9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granted the Representative a 30-day option to purchase from us up to an additional 2,621,905 shares of Common Stock and/or Pre-Funded Warrants to purchase up to 2,621,905 shares of Common Stock (or any combination thereof), representing 15% of the total number of shares of Common Stock and Pre-Funded Warrants sold in this offering, solely to cover over-allotments, if any. The Representative may exercise the over-allotment option with respect to shares of Common Stock only, Pre-Funded Warrants only, or any combination thereof. Any Common Stock or Pre-Funded Warrants purchased pursuant to the over-allotment option will be accompanied by the corresponding Two-Year Milestone Warrants and Five-Year Milestone Warrants on the same 100% coverage basis as the Common Stock and Pre-Funded Warrants sold at closing. The purchase price to be paid per additional share of Common Stock or per additional Pre-Funded Warrant will be equal to the public offering price per share of Common Stock or per Pre-Funded Warrant, as applicable, less the underwriting discounts and commissions. If the Representative exercises the option in full for shares of Common Stock only, the additional underwriting discounts and commissions payable by us related to such exercise will be $131,249, and the additional proceeds to us related to such exercise, before expenses, will be $1,743,735. </w:t>
      </w:r>
    </w:p>
    <w:p>
      <w:pPr>
        <w:pStyle w:val="TextBody"/>
        <w:bidi w:val="0"/>
        <w:spacing w:lineRule="atLeast" w:line="220" w:before="90" w:after="283"/>
        <w:ind w:left="540"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Delivery of the securities offered hereby is expected to be made on or about            , 2026 subject to satisfaction or waiver of customary closing conditions. </w:t>
      </w:r>
    </w:p>
    <w:p>
      <w:pPr>
        <w:pStyle w:val="TextBody"/>
        <w:bidi w:val="0"/>
        <w:spacing w:lineRule="atLeast" w:line="220" w:before="9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Sole Book-Runner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60" w:before="8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Lake Street</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20" w:before="9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Lead Manager</w:t>
      </w:r>
      <w:r>
        <w:rPr>
          <w:rFonts w:ascii="Times New Roman;Times;serif" w:hAnsi="Times New Roman;Times;serif"/>
          <w:b/>
          <w:i/>
          <w:caps w:val="false"/>
          <w:smallCaps w:val="false"/>
          <w:color w:val="000000"/>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Laidlaw &amp; Company (UK) Ltd.</w:t>
      </w:r>
      <w:r>
        <w:rPr>
          <w:rFonts w:ascii="Times New Roman;Times;serif" w:hAnsi="Times New Roman;Times;serif"/>
          <w:b/>
          <w:i w:val="false"/>
          <w:caps w:val="false"/>
          <w:smallCaps w:val="false"/>
          <w:color w:val="000000"/>
          <w:sz w:val="28"/>
        </w:rPr>
        <w:t xml:space="preserve"> </w:t>
      </w:r>
    </w:p>
    <w:p>
      <w:pPr>
        <w:pStyle w:val="TextBody"/>
        <w:bidi w:val="0"/>
        <w:spacing w:lineRule="atLeast" w:line="22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3"/>
        <w:gridCol w:w="109"/>
        <w:gridCol w:w="109"/>
        <w:gridCol w:w="109"/>
        <w:gridCol w:w="109"/>
        <w:gridCol w:w="399"/>
        <w:gridCol w:w="109"/>
        <w:gridCol w:w="155"/>
      </w:tblGrid>
      <w:tr>
        <w:trPr/>
        <w:tc>
          <w:tcPr>
            <w:tcW w:w="77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6" w:type="dxa"/>
            <w:gridSpan w:val="4"/>
            <w:tcBorders>
              <w:bottom w:val="single" w:sz="2" w:space="0" w:color="000000"/>
            </w:tcBorders>
            <w:tcMar>
              <w:bottom w:w="50" w:type="dxa"/>
            </w:tcMar>
            <w:vAlign w:val="center"/>
          </w:tcPr>
          <w:p>
            <w:pPr>
              <w:pStyle w:val="TableContents"/>
              <w:bidi w:val="0"/>
              <w:spacing w:before="0" w:after="0"/>
              <w:jc w:val="center"/>
              <w:rPr/>
            </w:pPr>
            <w:r>
              <w:rPr>
                <w:spacing w:val="-3"/>
              </w:rPr>
              <w:t>Page</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PRSU">
              <w:r>
                <w:rPr>
                  <w:rStyle w:val="InternetLink"/>
                  <w:spacing w:val="4"/>
                </w:rPr>
                <w:t>2</w:t>
              </w:r>
            </w:hyperlink>
            <w:hyperlink w:anchor="tPRS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THOF">
              <w:r>
                <w:rPr>
                  <w:rStyle w:val="InternetLink"/>
                  <w:spacing w:val="4"/>
                </w:rPr>
                <w:t>5</w:t>
              </w:r>
            </w:hyperlink>
            <w:hyperlink w:anchor="t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RIFA">
              <w:r>
                <w:rPr>
                  <w:rStyle w:val="InternetLink"/>
                  <w:spacing w:val="4"/>
                </w:rPr>
                <w:t>9</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FOST">
              <w:r>
                <w:rPr>
                  <w:rStyle w:val="InternetLink"/>
                  <w:spacing w:val="4"/>
                </w:rPr>
                <w:t>12</w:t>
              </w:r>
            </w:hyperlink>
            <w:hyperlink w:anchor="tFO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UOP">
              <w:r>
                <w:rPr>
                  <w:rStyle w:val="InternetLink"/>
                  <w:spacing w:val="4"/>
                </w:rPr>
                <w:t>14</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CAP">
              <w:r>
                <w:rPr>
                  <w:rStyle w:val="InternetLink"/>
                  <w:spacing w:val="4"/>
                </w:rPr>
                <w:t>15</w:t>
              </w:r>
            </w:hyperlink>
            <w:hyperlink w:anchor="t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DIL">
              <w:r>
                <w:rPr>
                  <w:rStyle w:val="InternetLink"/>
                  <w:spacing w:val="4"/>
                </w:rPr>
                <w:t xml:space="preserve">DILUTION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DIL">
              <w:r>
                <w:rPr>
                  <w:rStyle w:val="InternetLink"/>
                  <w:spacing w:val="4"/>
                </w:rPr>
                <w:t>17</w:t>
              </w:r>
            </w:hyperlink>
            <w:hyperlink w:anchor="tDI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ind w:left="200" w:right="0" w:hanging="200"/>
              <w:jc w:val="left"/>
              <w:rPr/>
            </w:pPr>
            <w:hyperlink w:anchor="tMPOO">
              <w:r>
                <w:rPr>
                  <w:rStyle w:val="InternetLink"/>
                  <w:spacing w:val="4"/>
                </w:rPr>
                <w:t xml:space="preserve">MARKET PRICE OF OUR COMMON STOCK AND RELATED STOCKHOLDER </w:t>
              </w:r>
            </w:hyperlink>
            <w:hyperlink w:anchor="tMPOO">
              <w:r>
                <w:rPr>
                  <w:rStyle w:val="InternetLink"/>
                </w:rPr>
                <w:br/>
              </w:r>
            </w:hyperlink>
            <w:hyperlink w:anchor="tMPOO">
              <w:r>
                <w:rPr>
                  <w:rStyle w:val="InternetLink"/>
                  <w:spacing w:val="4"/>
                </w:rPr>
                <w:t xml:space="preserve">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MPOO">
              <w:r>
                <w:rPr>
                  <w:rStyle w:val="InternetLink"/>
                  <w:spacing w:val="4"/>
                </w:rPr>
                <w:t>19</w:t>
              </w:r>
            </w:hyperlink>
            <w:hyperlink w:anchor="tMPO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DOOS">
              <w:r>
                <w:rPr>
                  <w:rStyle w:val="InternetLink"/>
                  <w:spacing w:val="4"/>
                </w:rPr>
                <w:t xml:space="preserve">DESCRIPTION OF OUR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DOOS">
              <w:r>
                <w:rPr>
                  <w:rStyle w:val="InternetLink"/>
                  <w:spacing w:val="4"/>
                </w:rPr>
                <w:t>20</w:t>
              </w:r>
            </w:hyperlink>
            <w:hyperlink w:anchor="tDO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DOSW">
              <w:r>
                <w:rPr>
                  <w:rStyle w:val="InternetLink"/>
                  <w:spacing w:val="4"/>
                </w:rPr>
                <w:t xml:space="preserve">DESCRIPTION OF THE SECURITIES WE ARE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DOSW">
              <w:r>
                <w:rPr>
                  <w:rStyle w:val="InternetLink"/>
                  <w:spacing w:val="4"/>
                </w:rPr>
                <w:t>25</w:t>
              </w:r>
            </w:hyperlink>
            <w:hyperlink w:anchor="tDOS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UND">
              <w:r>
                <w:rPr>
                  <w:rStyle w:val="InternetLink"/>
                  <w:spacing w:val="4"/>
                </w:rPr>
                <w:t>31</w:t>
              </w:r>
            </w:hyperlink>
            <w:hyperlink w:anchor="t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36</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EXP">
              <w:r>
                <w:rPr>
                  <w:rStyle w:val="InternetLink"/>
                  <w:spacing w:val="4"/>
                </w:rPr>
                <w:t>36</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3"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9"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36</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3" w:type="dxa"/>
            <w:tcBorders/>
            <w:tcMar>
              <w:bottom w:w="0" w:type="dxa"/>
            </w:tcMar>
            <w:vAlign w:val="center"/>
          </w:tcPr>
          <w:p>
            <w:pPr>
              <w:pStyle w:val="TableContents"/>
              <w:bidi w:val="0"/>
              <w:spacing w:before="0" w:after="0"/>
              <w:jc w:val="left"/>
              <w:rPr/>
            </w:pPr>
            <w:hyperlink w:anchor="tIBR">
              <w:r>
                <w:rPr>
                  <w:rStyle w:val="InternetLink"/>
                  <w:spacing w:val="4"/>
                </w:rPr>
                <w:t xml:space="preserve">INCORPORATION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9" w:type="dxa"/>
            <w:tcBorders/>
            <w:tcMar>
              <w:bottom w:w="0" w:type="dxa"/>
            </w:tcMar>
            <w:vAlign w:val="center"/>
          </w:tcPr>
          <w:p>
            <w:pPr>
              <w:pStyle w:val="TableContents"/>
              <w:bidi w:val="0"/>
              <w:spacing w:before="0" w:after="283"/>
              <w:jc w:val="right"/>
              <w:rPr/>
            </w:pPr>
            <w:hyperlink w:anchor="tIBR">
              <w:r>
                <w:rPr>
                  <w:rStyle w:val="InternetLink"/>
                  <w:spacing w:val="4"/>
                </w:rPr>
                <w:t>36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and the related exhibits filed with the SEC, together with the additional information described under the headings “Where You Can Find More Information” and “Incorporation by Reference” before making your investment decision.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provided in this prospectus or in a prospectus supplement or any free writing prospectuses or amendments thereto. Neither we, nor the Underwriters, have authorized anyone else to provide you with different information. If anyone provides you with different or inconsistent information, you should not rely on it. You should assume that the information in this prospectus is accurate only as of the date hereof. Our business, financial condition, results of operations and prospects may have changed since that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Underwriters, are offering to sell or seeking offers to purchase these securities in any jurisdiction where the offer or sale is not permitted.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as to distribution of the prospectus outside of the United States.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Unless the context otherwise requires, references in this prospectus to “AEON,” “the Company,” “we,” “us” and “our” refer to AEON Biopharma, Inc. and its subsidiaries on a consolidated basis. Our logo and all product names are our common law trademarks. Solely for convenience, trademarks and tradenames referred to in this prospectus may appear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or ™ symbols, but such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Industry and Market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and the documents incorporated by reference contain estimates, projections and other information concerning our industry, our business, the science of our products and the markets for our products, including data regarding the incidence of certain medical conditions and the scientific basis of our products. We obtained the industry, science, market and similar data set forth in this prospectus from our internal estimates and research and from academic and industry research, publications, surveys, and studies conducted by third parties. While we believe that these industry publications and third-party research, surveys and studies are reliable, we have not independently verified such data and we do not make any representation as to the accuracy of the information. The content of the above sources, except to the extent specifically set forth in this prospectus, does not constitute a portion of this prospectus and is not incorporated herein. Information that is based on estimates, forecasts, projections, market research, scientific research, or similar methodologies is inherently subject to uncertainties and actual events or circumstances may differ materially from events and circumstances that are assumed in this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contains basic information about us and this offering. Because it is a summary, it does not contain all of the information that </w:t>
      </w:r>
      <w:r>
        <w:rPr>
          <w:rFonts w:ascii="Times New Roman;Times;serif" w:hAnsi="Times New Roman;Times;serif"/>
          <w:b w:val="false"/>
          <w:i w:val="false"/>
          <w:caps w:val="false"/>
          <w:smallCaps w:val="false"/>
          <w:color w:val="000000"/>
          <w:spacing w:val="4"/>
          <w:sz w:val="20"/>
          <w:bdr w:val="single" w:sz="8" w:space="1" w:color="000000"/>
        </w:rPr>
        <w:t xml:space="preserve">you </w:t>
      </w:r>
      <w:r>
        <w:rPr>
          <w:rFonts w:ascii="Times New Roman;Times;serif" w:hAnsi="Times New Roman;Times;serif"/>
          <w:b w:val="false"/>
          <w:i/>
          <w:caps w:val="false"/>
          <w:smallCaps w:val="false"/>
          <w:color w:val="000000"/>
          <w:spacing w:val="4"/>
          <w:sz w:val="20"/>
          <w:bdr w:val="single" w:sz="8" w:space="1" w:color="000000"/>
        </w:rPr>
        <w:t xml:space="preserve">should consider before investing. Before you decide to invest in our Common Stock, you should read this entire prospectus carefully, including the section entitled “Risk Factors,” and any documents incorporated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Business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Overview</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biopharmaceutical company focused on developing ABP-450 as a biosimilar to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(onabotulinumtoxinA) for therapeutic indications. Our strategy is to pursue biosimilarity across all clinically relevant dimensions of the reference product, including label breadth, dosing and dilution, clinical performance and physician workflow, in order to enable seamless substitution and minimize switching friction for prescribers and payers, and to initially pursue regulatory approval in the United States through Section 351(k). We hold exclusive development and commercialization rights for ABP-450 in therapeutic indications across the United States, Canada, the European Union, the United Kingdom, and certain other international territories.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Building on this strategy, we are advancing ABP-450 through the 351(k) biosimilar pathway toward a potential BLA in the United States, targeting the therapeutic botulinum toxin market, which we estimate to be approximately $3.5 billion in 2026 and projected to grow at an annual growth rate of approximately 8%, according to Clarivate Therapeutic Botulinum Toxin Market Insights 2025. This large and continually growing market has historically been dominated by a single branded product,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We believe this market has remained highly concentrated in part due to the reference product’s broad label covering all twelve FDA-approved therapeutic indications, which has limited the adoption of competing products with narrower labels. Based on qualitative interviews conducted by a third-party market research firm with a small number of neurologists and payers in late 2025, physicians reported operational complexity and economic constraints associated with existing therapeutic neurotoxins, including limited flexibility under buy-and-bill reimbursement dynamics and challenges associated with managing products with differing dosing, dilution and labeling requirements. These interviewees indicated that, despite these challenges,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remains the predominant product due to its comprehensive label and established clinical workflows. We believe these dynamics may contribute to continued reliance on a single product and highlight the importance of a biosimilar approach designed for full-label alignment and workflow compatibility. ABP-450 is the same botulinum toxin complex that is currently approved as a biosimilar in Mexico, India and Philippines and, in the U.S., is approved to provide temporary improvement in the appearance of moderate to severe glabellar lines for certain adult patients and marketed by Evolus, Inc. under the name Jeuveau</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 the U.S. and Nuceiva</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 Canada and the European Union. We have established a highly experienced management team with specific experience in biopharmaceutical and botulinum toxin development and commercialization.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ABP-450 is manufactured by Daewoong Pharmaceutical Co., Ltd. (“Daewoong”) pursuant to a license and supply agreement under which we hold exclusive development and commercialization rights to ABP-450 for therapeutic indications in the United States, Canada, the European Union, the United Kingdom, and certain other international territories. ABP-450 is manufactured by Daewoong in a facility designed to be compliant with current Good Manufacturing Practice (“cGMP”) that has manufactured products approved by the FDA, Health Canada, and the European Commission. These facilities have been inspected by global regulatory authorities, including the FDA and EMA. The same botulinum toxin complex is commercially available in multiple international markets and is approved in the United States for aesthetic use under the brand name Jeuveau</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Our development program is focused exclusively on therapeutic indications, where we believe the biosimilar pathway may enable efficient development and broad label access, subject to regulatory review.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the U.S. therapeutic neurotoxin market is characterized by a concentrated prescriber and payer base, which may enable an efficient commercialization approach. Based on third-party claims data analyses, a relatively small number of high-volume neurologists account for a significant portion of therapeutic neurotoxin utilization, and a limited number of payers cover a majority of treated patients. We believe this concentration may allow for targeted engagement strategies focused on key prescribers and payers.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held an initial meeting with the FDA in the third quarter of 2024 during which we obtained feedback from the FDA on the next steps to develop a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biosimilar. We commenced analytical studies in the fourth quarter of 2024 to prepare for a BPD Type 2a meeting with the FDA that was held in January 2026. During the meeting, the FDA reviewed the Company’s proposed analytical similarity strategy under the 351(k) biosimilar pathway. The FDA acknowledged the scientific challenges associated with characterizing a 900 kDa botulinum neurotoxin complex, provided constructive feedback on our proposed development approach and analytical assessment plan, and noted that our analytical methodologies appeared reasonable to support advancement of the program toward a comprehensive analytical similarity package. We believe this feedback provides a framework for the remaining analytical components of our biosimilar development program and plan to complete the majority of our analytical comparability program in 2026. We are currently planning to hold a BPD Type 2b meeting with the FDA in the second half of 2026 to discuss the next phase of the development program to support approval of ABP-450 as a biosimilar to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across all approved therapeutic indications.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initial results from our analytical studies indicate a 100% amino acid sequence match confirmed between ABP-450 and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based on sequence coverage of 93% to 99% for the five proteins that comprise the 900 kDa botulinum toxin type A complex, using liquid chromatography/mass spectrometry (“LC/MS”) analysis of more than 3,400 amino acids across multiple lots of ABP-450 and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without any sequence deviations observed. Additionally, ABP-450 also demonstrated highly similar potency across two distinct assays (LD50 — an in vivo biological activity assay and CBPA — a cell-based potency assay) to support clinical dose predictability, comparable vial-to-vial active ingredient composition using ELISA — further supporting dose similarity and reliability, and functional cleavage of SNAP-25, consistent with the mechanism of action. These results contribute to our assessment of analytical similarity by characterizing key structural attributes of ABP-450 relative to the reference product and are intended to reduce residual uncertainty and potentially limit the need for further clinical assessments. Additional analytical and functional studies are ongoing as part of our broader analytical similarity assessment. Based on an internal review of peer-reviewed literature, we have identified more than 230 reported or potential therapeutic uses across multiple therapeutic areas, including neurology, pain, urology, gastroenterology, ophthalmology, dermatology, autonomic disorders, and musculoskeletal conditions. ABP-450 has been previously evaluated in multiple clinical and preclinical programs, including Phase 2 studies in cervical dystonia and migraine and preclinical work in gastroparesis and neuropsychiatric models. The Phase 2 cervical dystonia program met its primary and key secondary endpoints and, together with its open-label safety extension, provides human clinical data supporting the potential safety and efficacy of ABP-450. We are not currently pursuing additional 351(a) indication-specific development programs, but we retain related intellectual property and know-how that could support future collaborations or lifecycle opportunities.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Prior to licensing the botulinum toxin complex to Evolus, Daewoong conducted a broad preclinical development program for ABP-450 and has received approval from over 69 regulatory authorities. Subsequently, Evolus completed a comprehensive clinical development program of the same botulinum toxin complex and has received approval in the United States, the European Union and Canada to market and sell Jeuveau</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 the United States and Nuceiva</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in Canada and the European Union for the temporary improvement in the appearance of moderate to severe glabellar, or frown lines in adults. Over 2,100 adult subjects with moderate to severe glabellar lines at maximum frown participated in Evolus’ clinical development program, and each of Evolus’ Phase 3 clinical studies successfully met their respective primary safety and efficacy endpoints. While none of these preclinical or clinical programs specifically contemplated any therapeutic use of ABP-450, given that the FDA’s regulatory requirements are generally the same for the cosmetic or therapeutic use of a toxin, we believe that the positive data derived from these preclinical and clinical studies will support the clinical development and potential future safety labeling of ABP-450 for our 351(k) biosimilar program, across all labeled dose ranges.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plan to pursue approval of ABP-450 by submitting a Section 351(k) BLA that exclusively contemplates therapeutic indications for ABP-450, which we believe could improve provider reimbursement for ABP-450, if approved. Existing botulinum toxins, including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are approved under a single BLA for both therapeutic and cosmetic indications. As a result of this and other factors, other botulinum toxins are required to include the sales prices of both therapeutic and cosmetic botulinum toxin sales when calculating the average selling price, or ASP, that is used to determine the reimbursement amount physicians receive for therapeutic usage. The inclusion of a lower cosmetic sales price in the calculation of ASP can, in some cases,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00"/>
        <w:ind w:left="1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cause physicians that inject for therapeutic applications to lose money when treating patients with existing botulinum toxins and also creates a deterrent to providing payors and/or providers with rebates or other financial incentives. If we are successful in obtaining approval of a Section 351(k) BLA for therapeutic indications of ABP-450, we believe this could facilitate more consistent reimbursement economics for providers administering ABP-450 in therapeutic settings while also providing greater flexibility to support contracting strategies with payors. Subject to pricing, reimbursement and formulary decisions, these characteristics may create greater alignment between provider reimbursement incentives and payor objectives to manage treatment costs. We believe such alignment, if achieved, could support adoption of ABP-450 in therapeutic indications. This pricing approach would be unique within the current therapeutic neurotoxin market and, we believe, could provide flexibility to offer competitive net pricing to payers while maintaining favorable reimbursement dynamics for providers. In addition, under the Medicare Part B buy-and-bill framework, biosimilars are generally reimbursed at the biosimilar’s own ASP plus an add-on payment equal to 6% of the reference product’s ASP, which, because the reference product typically has a higher ASP than the biosimilar, can result in a larger per-unit margin for providers administering the biosimilar relative to the reference product. However, our expected pricing model has not been finalized and may differ from current expectations.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never been profitable from operations and, as of March 31, 2026, we had an accumulated deficit of $482.6 million. We have never generated revenue from ABP-450. We have concluded that we do not have sufficient cash to fund our operations through March 31, 2027 without additional financing, and as a result, there is substantial doubt about our ability to continue as a going concern. As of the date of this prospectus, we expect to have sufficient cash to fund our operating plan into the third quarter of 2026. Any further development of ABP-450 for any indication, including the biosimilar pathway and any additional studies, will require additional funding, which may not be available to us on reasonable terms, or at all.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do not expect to receive any revenue from ABP-450 or any future product candidates that we develop unless and until we obtain regulatory approval and commercialize ABP-450 or any future product candidates. We expect to continue to incur significant expenses and increasing net operating losses for the foreseeable future as we seek regulatory approval, prepare for and, if approved, proceed to commercialization of ABP-450.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Leerink ATM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14, 2024, the Company entered into a sales agreement with Leerink Partners LLC (“Leerink Partners”) relating to an at-the-market offering program (the “ATM”), pursuant to which the Company may offer and sell, from time to time at its sole discretion, shares of Common Stock, having aggregate gross proceeds of up to $50.0 million through Leerink Partners as sales agent subject to applicable limitations. Under the ATM, Leerink Partners is entitled to commission at a rate equal to 3.0% of the gross proceeds from sales of shares of Common Stock under the ATM. The Company may cancel its at-the-market program at any time upon prior notice, pursuant to its terms. As of May 26, 2026, we have issued and sold an aggregate of 2,661,939 shares of Common Stock under the ATM and received net proceeds of approximately $2.9 million, and approximately $47.0 million of Common Stock remains available to be sold under the ATM subject to applicable limitations.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NYSE Continued Listing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March 31, 2026, we received written notice of non-compliance (the “Notice”) from the NYSE American indicating that we are not in compliance with the continued listing standards set forth in Section 1003(a)(ii) of the NYSE American Company Guide. Section 1003(a)(ii) requires stockholders’ equity of $4.0 million or more if a listed company has reported losses from continuing operations and/or net losses in three of its four most recent fiscal years. The Notice states that we reported a stockholders’ deficit of approximately $55 million as of December 31, 2025 and have incurred losses from continuing operations and/or net losses in three of our four most recent fiscal years, as reflected in our Annual Report on Form 10-K for the year ended December 31, 2025 filed with the SEC on March 30, 2026.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THO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previously reported, on February 7, 2025, we received a prior notice from NYSE American that we were not in compliance with Section 1003(a)(i) of the NYSE American Company Guide, which requires stockholders’ equity of $2.0 million or more if a listed company has reported losses from continuing operations and/or net losses in two of its three most recent fiscal years. NYSE American allows for an exemption to Section 1003(a) for companies that satisfy both (1) total market capitalization of at least $50 million, or total assets and revenue of $50 million each in its last fiscal year or in two of its last three fiscal years; and (2) at least 1,100,000 shares publicly held, market value of publicly held shares of at least $15 million, and 400 round lot holders. Pursuant to that prior notice, we submitted a plan to regain compliance by August 3, 2026 (the “Plan”). In April 2025, NYSE American accepted the Plan and granted us until August 3, 2026 (the “Plan Period”) to regain compliance. We have been subject to periodic reviews by NYSE American and have been making progress consistent with the Plan.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Notice relates to our previously disclosed compliance status following our year-end results and does not have immediate effect on the listing of Common Stock on NYSE American or the Plan Period. Our Common Stock will continue to be listed and traded on NYSE American during the Plan Period, subject to compliance with other applicable listing standards, and will continue to trade with a “.BC” indicator to denote that we are below compliance. We will also continue to be included in the NYSE American list of noncompliant issuers.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intend to continue to execute the Plan to regain compliance with Sections 1003(a)(i) and 1003(a)(ii) by August 3, 2026. However, there can be no assurance that we will be able to regain compliance within the required timeframe. We have a right to appeal a staff delisting determination in accordance with Section 1010 and Part 12 of the NYSE American Company Guide. Our receipt of the Notice does not affect our business operations or our reporting obligations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initially incorporated in the State of Delaware on November 17, 2020 under the name Priveterra Acquisition Corp. Upon the closing of the business combination on July 21, 2023, we changed our name to AEON Biopharma, Inc. Our principal executive offices are located at 5 Park Plaza, Suite 1750, Irvine, California 92614 and our telephone number is (949) 354-6499.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to be Offered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17,479,373 shares of Common Stock, based on an assumed public offering price of $0.7151 per share of Common Stock, which is equal to the last sale price of our Common Stock as reported on the NYSE American on July 2, 2026.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Pre-funded Warrants to be Offered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also offering to those purchasers, if any, whose purchase of the Common Stock in this offering would result in the purchaser, together with its affiliates and certain related parties, beneficially owning more than 4.99% (or at the election of the purchaser, 9.99%) of our outstanding Common Stock immediately following the consummation of this offering, the opportunity to purchase, if they so choose, Pre-Funded Warrants in lieu of the Common Stock that would otherwise result in ownership in excess of 4.99% (or 9.99%, as applicable) of our outstanding Common Stock.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523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purchase price of each Pre-Funded Warrants will equal the price per share of Common Stock being sold to the public in this offering, minus $0.0001, and the exercise price of each Pre-Funded Warrant will be $0.0001 per share.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523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each Pre-Funded Warrant we sell, the number of shares of Common Stock we are offering will be decreased on a one-for-one basis.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350" w:after="10"/>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Pre-Funded Warrant will be immediately exercisable and may be exercised at any time until exercised in full. There is no expiration date for the Pre-Funded Warrants. To better understand the terms of the Pre-Funded Warrants, you should carefully read the “Description of Securities We are Offering” section of this prospectus. You should also read the form of Pre-Funded Warrant, which is filed as an exhibit to the registration statement that includes this prospectus.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Milestone Warrants to be Offered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Together with each share of Common Stock (or Pre-Funded Warrant) offered in this offering, we are also offering (i) one Two-Year Milestone Warrant to purchase one share of Common Stock or one Pre-Funded Warrant and (ii) one Five-Year Milestone Warrant to purchase one share of Common Stock or one Pre-Funded Warrant, representing 200% aggregate warrant coverage (100% coverage in the form of Two-Year Milestone Warrants and 100% coverage in the form of Five-Year Milestone Warrants). The Two-Year Milestone Warrant will be immediately exercisable upon issuance at an assumed exercise price of $0.7151 per share or $0.7150 per Pre-Funded Warrant (representing 100% of the assumed public offering price of $0.7151 per share, the last reported sale price of our common stock as reported on the NYSE American on July 2, 2026 (less the $0.0001 per share exercise price in the case of the Pre-Funded Warrant)) and the Five-Year Milestone Warrant will be immediately exercisable upon issuance at an assumed exercise price of $0.8224 per share (representing 115% of the assumed public offering price). Each Two-Year Milestone Warrant will expire on the earliest of (x) the second anniversary of the date of issuance and (y) 45 days after our public announcement that we have received Type 2B meeting minutes from the FDA that do not preclude advancement of ABP-450 toward a Biologics License Application under the Section 351(k) biosimilar pathway. Each Five-Year Milestone Warrant will expire on the earliest of (x) the fifth anniversary of the date of issuance and (y) 45 days following our public announcement of the initiation of a Phase 3 clinical equivalence trial of ABP-450 as a biosimilar to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At the option of the holder, each Milestone Warrant may be exercised for either one share of Common Stock or one Pre-Funded Warrant. To better understand the terms of the Milestone Warrants, you should carefully read the “Description of the Securities We are Offering” section of this prospectus. You should also read the form of each Milestone Warrant, which is filed as an exhibit to the registration statement that includes this prospectus. The Milestone Warrants and the Pre-Funded Warrants will be issued in accordance with pursuant to, and subject to the terms of the Warrant Agency Agreement to be entered into with Continental Stock Transfer &amp; Trust Company, as warrant agent. See “</w:t>
      </w:r>
      <w:r>
        <w:rPr>
          <w:rFonts w:ascii="Times New Roman;Times;serif" w:hAnsi="Times New Roman;Times;serif"/>
          <w:b w:val="false"/>
          <w:i/>
          <w:caps w:val="false"/>
          <w:smallCaps w:val="false"/>
          <w:color w:val="000000"/>
          <w:spacing w:val="4"/>
          <w:sz w:val="20"/>
          <w:bdr w:val="single" w:sz="8" w:space="1" w:color="000000"/>
        </w:rPr>
        <w:t>Description of the Securities We Are Offering</w:t>
      </w:r>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Lock-Up Agreements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this offering, we and all of our executive officers and directors and certain of our stockholders will agree not to, without the prior written approval of the Representative, offer, sell, contract to sell or otherwise dispose of or hedge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88"/>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Stock or securities convertible into or exchangeable for Common Stock, subject to certain exceptions. For more information, see “Underwriting.”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Over-allotment Option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granted the Representative a 30-day option to purchase from us up to an additional 2,621,905 shares of Common Stock and/or Pre-Funded Warrants to purchase up to 2,621,905 shares of Common Stock (or any combination thereof), representing 15% of the total number of shares of Common Stock and Pre-Funded Warrants sold in this offering, solely to cover over-allotments, if any. The Representative may exercise the over-allotment option with respect to shares of Common Stock only, Pre-Funded Warrants only, or any combination thereof. Any Common Stock or Pre-Funded Warrants purchased pursuant to the over-allotment option will be accompanied by the corresponding Two-Year Milestone Warrants and Five-Year Milestone Warrants on the same 100% coverage basis as the Common Stock and Pre-Funded Warrants sold at closing. The purchase price to be paid per additional share of Common Stock or per additional Pre-Funded Warrant will be equal to the public offering price per share of Common Stock or per Pre-Funded Warrant, as applicable, less the underwriting discounts and commissions. If the Representative exercises the option in full for shares of Common Stock only, the additional underwriting discounts and commissions payable by us related to such exercise will be $131,249, and the additional proceeds to us related to such exercise, before expenses, will be $1,743,735.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outstanding prior to this offering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26,307,211 shares of our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to be outstanding after this offering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43,786,584 Shares of our Common Stock (assuming we sell only shares of Common Stock and no Pre-Funded Warrants).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23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expect to receive net proceeds of approximately $11.0 million from the issuance and sale of the securities in this offering, or approximately $12.8 million if the Representative exercises its over-allotment option in full for Common Stock only, assuming a price of $0.7151 per share of Common Stock, after deducting underwriting discounts and commissions and estimated offering expenses payable by us. We intend to use the net proceeds from this offering for working capital and general corporate purposes, including conducting comparative analytical testing on ABP-450 to support biosimilarity with BOTOX</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NYSE American symbol for our Common Stock </w:t>
      </w:r>
    </w:p>
    <w:p>
      <w:pPr>
        <w:pStyle w:val="TextBody"/>
        <w:bidi w:val="0"/>
        <w:spacing w:lineRule="atLeast" w:line="240" w:before="0" w:after="283"/>
        <w:ind w:left="5233" w:right="0" w:hanging="0"/>
        <w:jc w:val="both"/>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AEON”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5233" w:right="0" w:hanging="0"/>
        <w:jc w:val="both"/>
        <w:rPr/>
      </w:pPr>
      <w:r>
        <w:rPr>
          <w:rFonts w:ascii="Times New Roman;Times;serif" w:hAnsi="Times New Roman;Times;serif"/>
          <w:b w:val="false"/>
          <w:i w:val="false"/>
          <w:caps w:val="false"/>
          <w:smallCaps w:val="false"/>
          <w:color w:val="000000"/>
          <w:spacing w:val="4"/>
          <w:sz w:val="20"/>
          <w:bdr w:val="single" w:sz="8" w:space="1" w:color="000000"/>
        </w:rPr>
        <w:t xml:space="preserve">This investment involves a high degree of risk. See “Risk Factors” beginning on page </w:t>
      </w:r>
      <w:hyperlink w:anchor="tRIFA">
        <w:r>
          <w:rPr>
            <w:rStyle w:val="InternetLink"/>
          </w:rPr>
          <w:t>9</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for a discussion of factors you should carefully consider before deciding to invest in our securities.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otherwise noted, the number of shares of Common Stock to be outstanding is based on 26,307,211 shares of Common Stock outstanding as of July 2, 2026 and excludes as of July 2, 2026: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158,005 shares of Common Stock issuable upon the exercise of options, with a weighted-average exercise price of $296.85 per share; </w:t>
      </w:r>
      <w:r>
        <mc:AlternateContent>
          <mc:Choice Requires="wps">
            <w:drawing>
              <wp:anchor behindDoc="0" distT="0" distB="0" distL="254000" distR="0" simplePos="0" locked="0" layoutInCell="1" allowOverlap="1" relativeHeight="9">
                <wp:simplePos x="0" y="0"/>
                <wp:positionH relativeFrom="column">
                  <wp:align>left</wp:align>
                </wp:positionH>
                <wp:positionV relativeFrom="line">
                  <wp:posOffset>635</wp:posOffset>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11,377,317 shares of Common Stock issuable upon the vesting and settlement of restricted stock units (“RSUs”);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2,352,070 shares of Common Stock issuable for vested RSUs that have not been issued, of which 357,638 shares of Common Stock will be withheld to satisfy tax obligations;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6,084,111 shares of Common Stock that were reserved for future issuance under our 2023 Incentive Award Plan (the “2023 Plan”) and 2025 Employment Inducement Incentive Award Plan (the “2025 EIP”), as well as any automatic increases in the number of shares of our Common Stock reserved for future issuance under the 2023 Plan;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149,036 shares of Common Stock that were reserved for future issuance under our 2023 Employee Stock Purchase Plan (“ESPP”), as well as any automatic increases in the number of shares of our Common Stock reserved for future issuance under the ESPP;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aggregate of 18,389,740 shares of Common Stock issuable upon the exercise of private placement warrants, at a weighted average exercise price of $4.97 per share, and an aggregate of 24,400,289 shares of Common Stock issuable upon the exercise of pre-funded warrants, at a weighted average exercise price of $0.0001 per share, in each case to purchase shares of our Common Stock;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3,268,860 shares of Common Stock issuable upon conversion of certain senior secured convertible note (the “Convertible Note”), assuming at a conversion price of $1.00 per share and the maximum accrued interest prior to the maturity date of the Convertible Note); and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208,657 shares of Common Stock (the “Contingent Consideration Shares”) issuable subject to achievement of certain milestone provisions set forth in our Business Combination Agreement, dated as of December 12, 2022 (as amended, the “Business Combination Agreement”).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indicated, all information in this prospectus assumes: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exercise of outstanding options or settlement of outstanding RSUs;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conversion of the Convertible Note;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settlement of the Contingent Consideration Shares;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 sale of Pre-Funded Warrants; and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no exercise of the Representative’s over-allotment option.</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pPr>
      <w:r>
        <w:rPr>
          <w:rFonts w:ascii="Times New Roman;Times;serif" w:hAnsi="Times New Roman;Times;serif"/>
          <w:b w:val="false"/>
          <w:i/>
          <w:caps w:val="false"/>
          <w:smallCaps w:val="false"/>
          <w:color w:val="000000"/>
          <w:spacing w:val="4"/>
          <w:sz w:val="20"/>
        </w:rPr>
        <w:t xml:space="preserve">Investing in our securities involves a high degree of risk. Before making an investment decision with respect to our securities, we urge you to carefully consider the risks described below and in the “Risk Factors” sections of our most recent </w:t>
      </w:r>
      <w:hyperlink r:id="rId3">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which is incorporated by reference into this prospectus, together with the information included in this prospectus and documents incorporated by reference herein, and in any free writing prospectus that we have authorized for use in connection with this offering. The risks and uncertainties incorporated by reference into this prospectus or described below are not the only ones we face. Additional risks and uncertainties not presently known or which we consider immaterial as of the date hereof may also materially harm our business and could result in a complete loss of your investment. If any of the matters discussed in the following risk factors were to occur, our business, financial condition, results of operations, cash flows, or prospects could be materially and adversely affected, the market price of our Common Stock could decline, as well as the value of the Pre-Funded Warrants, and you could lose all or part of your investment in our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management has broad discretion over the use of the net proceeds from this offering, you may not agree with how we use the proceeds and the proceeds may not be invested successfully.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has broad discretion as to the use of the net proceeds from this offering, and we could use them for purposes other than those currently contemplated. Accordingly, you rely on the judgment of our management with regard to the use of those net proceeds, and you do not have the opportunity, as part of your investment decision, to assess whether the proceeds are being used appropriately. It is possible that we may invest those net proceeds in a way that does not yield a favorable, or any, return for us. The failure of our management to use such funds effectively could have a material adverse effect on our business, financial condition, operating results and cash flows.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you purchase our securities in this offering, you will incur immediate and substantial dilution in the book value of your shares of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will suffer immediate and substantial dilution in the pro forma net tangible book value of the Common Stock you purchase in this offering. Based on the assumed public offering price of $0.7151 per share, the last reported price of our Common Stock on the NYSE American on July 2, 2026, purchasers of securities in this offering will experience immediate dilution of $0.83 per share in the pro forma net tangible book value of the Common Stock. See the section of this prospectus titled “</w:t>
      </w:r>
      <w:r>
        <w:rPr>
          <w:rFonts w:ascii="Times New Roman;Times;serif" w:hAnsi="Times New Roman;Times;serif"/>
          <w:b w:val="false"/>
          <w:i/>
          <w:caps w:val="false"/>
          <w:smallCaps w:val="false"/>
          <w:color w:val="000000"/>
          <w:spacing w:val="4"/>
          <w:sz w:val="20"/>
        </w:rPr>
        <w:t>Dilution</w:t>
      </w:r>
      <w:r>
        <w:rPr>
          <w:rFonts w:ascii="Times New Roman;Times;serif" w:hAnsi="Times New Roman;Times;serif"/>
          <w:b w:val="false"/>
          <w:i w:val="false"/>
          <w:caps w:val="false"/>
          <w:smallCaps w:val="false"/>
          <w:color w:val="000000"/>
          <w:spacing w:val="4"/>
          <w:sz w:val="20"/>
        </w:rPr>
        <w:t xml:space="preserve">” for a more detailed description of these factors.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public market for any of the Warrants being offered in this offering.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established public trading market for any of the Warrants being sold in this offering, and we do not expect a market to develop. We will not list any of the Warrants on any securities exchange or nationally recognized trading system, including the NYSE American. Without an active market, the liquidity of the Warrants will be limited.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successfully complete this offering on the terms or in the amounts currently contemplated, and even if this offering is completed, we may need to raise additional capital in the near term.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offering is being conducted on a firm commitment underwritten basis, and the Underwriters are obliged to purchase all of the securities offered by us pursuant to this prospectus, subject to the satisfaction of customary closing conditions. However, this offering is subject to market conditions, and there can be no assurance that this offering will be completed on the terms currently contemplated, or at all.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this offering is completed, the net proceeds we receive may be insufficient to fund our operations, business plans, or near-term liquidity needs for the periods anticipated. Our actual capital requirements will depend on numerous factors, including the progress of our research and development activities, regulatory developments affecting our product candidates, the timing and outcome of clinical and preclinical studies, manufacturing and supply chain considerations, and general market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generate sufficient cash flow from operations or raise additional capital when needed, we may be required to delay, reduce or eliminate certain research and development programs or other strategic initiatives. Additional financing may not be available on acceptable terms, or at all, and any future equity financings may be dilutive to existing stockholders. Debt financing may involve restrictive covenants or require the pledging of assets. Failure to obtain necessary additional financing could materially and adversely affect our business, financial condition, results of operations, and prospects. </w:t>
      </w:r>
    </w:p>
    <w:p>
      <w:pPr>
        <w:pStyle w:val="TextBody"/>
        <w:bidi w:val="0"/>
        <w:spacing w:lineRule="atLeast" w:line="240" w:before="2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Pre-Funded Warrants are speculative in nature.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Pre-Funded Warrants do not confer any rights of Common Stock ownership on their holders, such as voting rights or the right to receive dividends, but merely represent the right to acquire shares of Common Stock at a fixed price. Commencing on the date of issuance, holders of Pre-Funded Warrants may exercise their right to acquire the underlying Common Stock and pay the stated warrant exercise price per share. </w:t>
      </w:r>
    </w:p>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holders of Pre-Funded Warrants acquire shares of our Common Stock upon exercise thereof, holders of such Pre-Funded Warrants will have no rights with respect to shares of our Common Stock. Upon exercise of the Pre-Funded Warrants, such holders will be entitled to exercise the rights of a holder of Common Stock only as to matters for which the record date occurs after the exercise date. </w:t>
      </w:r>
    </w:p>
    <w:p>
      <w:pPr>
        <w:pStyle w:val="TextBody"/>
        <w:bidi w:val="0"/>
        <w:spacing w:lineRule="atLeast" w:line="230" w:before="21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Milestone Warrants may expire before their milestones are achieved, and holders of the Milestone Warrants will not receive any consideration if the Milestone Warrants expire unexercised or are otherwise terminated without value.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Two-Year Milestone Warrants will expire on the earliest of (i) the second anniversary of the date of issuance and (ii) 45 days following our public announcement that we have received Type 2B meeting minutes from the FDA that do not preclude advancement of ABP-450 toward a Biologics License Application under the Section 351(k) biosimilar pathway. The Five-Year Milestone Warrants will expire on the earliest of (i) the fifth anniversary of the date of issuance and (ii) 45 days following our public announcement of the initiation of a Phase 3 clinical equivalence trial of ABP-450 as a biosimilar to BOTOX</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There is no assurance that we will achieve either of these milestones within the applicable warrant term, or at all, and the achievement of either milestone is subject to a number of significant risks and uncertainties, including regulatory, clinical, operational, financial and commercial risks described elsewhere in this prospectus and in the documents incorporated by reference herein. In particular, our ability to schedule and successfully conduct a Type 2B meeting with the FDA and receive supportive meeting minutes, and our ability to advance ABP-450 into a Phase 3 clinical trial, will depend on, among other factors, the results of our ongoing analytical and functional similarity studies, our ability to obtain sufficient additional capital, feedback from the FDA, the availability of clinical trial sites and materials, our ability to successfully manufacture ABP-450 at commercial scale through our third-party manufacturer, and general macroeconomic and regulatory conditions. </w:t>
      </w:r>
    </w:p>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applicable milestone is not achieved and publicly announced prior to the expiration date of the applicable Milestone Warrant, the Milestone Warrant will expire unexercised and holders will receive no consideration for such Milestone Warrant. In addition, even if the applicable milestone is achieved, holders will have only a limited period following our public announcement of such achievement to exercise the applicable Milestone Warrant. Following such announcement, the market price of our Common Stock may fluctuate significantly, and the Milestone Warrants may not have any economic value at the time of exercise if the market price of our Common Stock is at or below the exercise price of the applicable Milestone Warrant. Furthermore, the Milestone Warrants do not confer any rights of Common Stock ownership on their holders, such as voting rights or the right to receive dividends, but merely represent the right to acquire shares of Common Stock (or Pre-Funded Warrants, at the option of the holder) at a fixed price during the applicable exercise period. Until a holder acquires shares of Common Stock upon exercise of a Milestone Warrant, such holder will have no rights with respect to the shares of Common Stock underlying such Milestone Warrant. As a result, the Milestone Warrants are highly speculative in nature and holders may lose all or a substantial portion of the value attributable to the Milestone Warrants. </w:t>
      </w:r>
    </w:p>
    <w:p>
      <w:pPr>
        <w:pStyle w:val="TextBody"/>
        <w:bidi w:val="0"/>
        <w:spacing w:lineRule="atLeast" w:line="230" w:before="21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Raising additional capital may cause dilution to our stockholders, including purchasers of securities in this offering, restrict our operations or require us to relinquish rights to our technologies or current or future therapeutic candidates.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such time, if ever, as we can generate the cash we need from operations, we expect to finance our cash needs through a combination of private and public equity offerings, debt financings, royalty monetization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revenue interest financings, collaborations, strategic alliances and marketing, distribution or licensing arrangements. To the extent that we raise additional capital through the sale of Common Stock or securities convertible into or exchangeable for Common Stock, the ownership interest of our shareholders will be diluted, and the terms of these new securities may include liquidation or other preferences that materially adversely affect the rights of our shareholders. Debt financing, if available, would increase our fixed payment obligations and may involve agreements that include covenants limiting or restricting our ability to take specific actions, such as incurring additional debt, making capital expenditures or declaring dividends.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raise funds through collaborations, strategic alliances or marketing, distribution or licensing arrangements with third-parties, we may have to relinquish valuable rights to our intellectual property, future revenue streams, research programs or current or future therapeutic candidates or grant licenses on terms that may not be favorable to us. If we are unable to raise additional funds when needed, we may be required to delay, scale back or discontinue the development and commercialization of one or more of our therapeutic candidates, delay our pursuit of potential licenses or acquisitions, or grant rights to develop and market current or future therapeutic candidates that we would otherwise prefer to develop and market ourselves.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have a significant number of stock options, convertible notes and warrants to purchase shares of our Common Stock outstanding. To the extent that outstanding stock options, convertible preferred stock or warrants have been or may be exercised or other shares issued, you may experience dilution.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Ownership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regain compliance with the NYSE American continued listing standards, our Common Stock may be delisted, which could adversely affect the liquidity and market price of our Common Stock and our ability to raise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currently listed on the NYSE American. We have received written notices from the NYSE American that we are not in compliance with certain continued listing standards under Section 1003(a) of the NYSE American Company Guide relating to stockholders’ equity. Although the NYSE American has accepted our plan to regain compliance and granted us a period through August 3, 2026 to do so, we remain subject to ongoing review by the NYSE American and must make sufficient progress toward regaining compliance within the applicable plan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 that we will be able to regain compliance with the NYSE American’s continued listing standards within the required timeframe or at all. If we do not regain compliance, or if the NYSE American determines that we are not making sufficient progress under our plan, the NYSE American may initiate delisting proceedings. If our Common Stock were delisted, it could result in reduced liquidity, limited availability of market quotations, increased price volatility, and a decline in the market price of our Common Stock. Delisting could also impair our ability to raise additional capital, limit our ability to use equity-based financing strategies, and reduce investor confidence. Any of these events could have a material adverse effect on our business, financial condition, and results of operations.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FOST"/>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herein by reference contain forward-looking statements within the meaning of Section 27A of the Securities Act of 1933, as amended (the “Securities Act”), and Section 21E of the Securities Exchange Act of 1934, as amended (the “Exchange Act”), which are intended to be covered by the safe harbor created by those sections.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statements other than statements of historical facts contained in this prospectus or incorporated by reference herein,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In some cases, you can identify forward-looking statements by terminology such as “may,” “should,” “expect,” “plan,” “anticipate,” “could,” “intend,” “target,” “project,” “contemplate,” “believe,” “estimate,” “predict,” “potential,” or “continue,” or the negative of these terms or other comparable terminology.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forward-looking statements are based on our current expectations, assumptions, estimates and projections about future events and financial trends that we believe may affect our business, financial condition and results of operations. These statements are only predictions and involve known and unknown risks, uncertainties and other important factors, many of which are beyond our control, that may cause our actual results, performance or achievements to differ materially from any future results, performance or achievements expressed or implied by the forward-looking statements.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include, without limitation, statements regarding: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projected financial information, anticipated growth rate and market opportunities;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regulatory strategy, pricing, reimbursement, ASP treatment, provider economics, and commercial adoption of ABP-450, including our plans to seek approval of ABP-450 pursuant to a Section 351(k) biologics license application for therapeutic indications only, the potential impact of such strategy on ASP calculations, Medicare Part B reimbursement dynamics, provider margins, payor contracting flexibility, and market uptake, and the risk that our ultimate pricing, reimbursement, or formulary positioning may differ materially from our current expectations;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consummate and close this offering on the anticipated terms, within the expected timeframe, or at all, including our ability to satisfy applicable closing conditions and market requirements;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regain compliance with the continued listing requirements of, and maintain the listing of our Class A Common Stock on, the NYSE American;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liquidity and trading of our public securities;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raise financing in the future and to continue as a going concern;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success in retaining or recruiting, or changes required in, officers, key employees, scientific personnel or directors;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relating to our business, operations and financial performance;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initiation, cost, timing, progress and results of research and development activities, preclinical studies or clinical trials with respect to our current and potential future product candidates; </w:t>
      </w:r>
      <w:r>
        <mc:AlternateContent>
          <mc:Choice Requires="wps">
            <w:drawing>
              <wp:anchor behindDoc="0" distT="7874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identify, develop and commercialize our lead product candidate, ABP-450 injection; </w:t>
      </w:r>
      <w:r>
        <mc:AlternateContent>
          <mc:Choice Requires="wps">
            <w:drawing>
              <wp:anchor behindDoc="0" distT="7874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regulatory approvals, including a biologics license application, for therapeutic uses of ABP-450;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and maintain intellectual property protection for our technologies and product candidates; </w:t>
      </w:r>
      <w:r>
        <mc:AlternateContent>
          <mc:Choice Requires="wps">
            <w:drawing>
              <wp:anchor behindDoc="0" distT="7874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of our current and potential future product candidates; </w:t>
      </w:r>
      <w:r>
        <mc:AlternateContent>
          <mc:Choice Requires="wps">
            <w:drawing>
              <wp:anchor behindDoc="0" distT="7874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developments in the United States and other jurisdictions; </w:t>
      </w:r>
      <w:r>
        <mc:AlternateContent>
          <mc:Choice Requires="wps">
            <w:drawing>
              <wp:anchor behindDoc="0" distT="7874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liability, litigation and penalties related to our technologies, product candidates and relationships with third parties; </w:t>
      </w:r>
      <w:r>
        <mc:AlternateContent>
          <mc:Choice Requires="wps">
            <w:drawing>
              <wp:anchor behindDoc="0" distT="0" distB="0" distL="254000" distR="0" simplePos="0" locked="0" layoutInCell="1" allowOverlap="1" relativeHeight="36">
                <wp:simplePos x="0" y="0"/>
                <wp:positionH relativeFrom="column">
                  <wp:align>left</wp:align>
                </wp:positionH>
                <wp:positionV relativeFrom="line">
                  <wp:posOffset>635</wp:posOffset>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contract with and rely on third-party suppliers and manufacturers, including under our license and supply agreement with Daewoong Pharmaceutical Co., Ltd.;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financial performance and capital requirements;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implement and maintain effective internal controls; and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macroeconomic developments beyond our control, including supply chain disruptions, public health events, geopolitical instability or other catastrophic events, on our business.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list is not intended to be exhaustive. We have based these forward-looking statements on our current expectations and assumptions. While we believe these expectations and assumptions are reasonable, forward-looking statements are inherently uncertain and involve risks and uncertainties that could cause actual results to differ materially from those expressed or implied by such statements.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Important factors that could cause actual results to differ materially include those discussed in this prospectus under the heading “Risk Factors” and in the documents incorporated by reference herein, including our most recent Annual Report on Form 10-K and Quarterly Reports on Form 10-Q filed with the SEC. We encourage you to read those risks carefully.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place undue reliance on forward-looking statements, which speak only as of the date they are made. Except as required by law, we do not undertake any obligation to update or revise any forward-looking statements to reflect events or circumstances after the date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net proceeds that we will receive from the sale of our Common Stock (and any Pre-Funded Warrants in lieu thereof) in this offering, together with the accompanying Two-Year Milestone Warrants and Five-Year Milestone Warrants, will be approximately $11.0 million, or approximately $12.8 million if the Representative exercises its over-allotment option in full for shares of Common Stock only, in each case after deducting the underwriting discounts and commissions and other estimated offering expenses payable by us, and assuming a public offering price of $0.7151 per share of Common Stock, which is the last reported sale price of our Common Stock on the NYSE American on July 2, 2026. We will not receive any proceeds from the sale of the Milestone Warrants at closing (other than the nominal purchase price attributable thereto); however, we may receive additional gross proceeds of up to approximately $26.9 million in the aggregate if all of the Milestone Warrants are exercised for cash at the assumed exercise price.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expect to use any net proceeds that we receive from this offering for working capital and general corporate purposes, including conducting comparative analytical testing on ABP-450 to support biosimilarity with BOTOX</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The amounts and timing of these expenditures will depend on a number of factors, including the timing and progress of our research and development and clinical activities, regulatory actions affecting our product candidates and our business, the results of our preclinical and clinical studies, technological advances, and the competitive environment for our product candidates. As a result, we cannot specify with certainty all of the particular uses for the net proceeds that we will receive from this offering. Accordingly, our management will have broad discretion in the application of the net proceeds. We may also use a portion of the net proceeds to acquire or invest in complementary businesses, technologies, product candidates or other intellectual property, although we have no present commitments or agreements to do so. We may use the net proceeds for purposes not contemplated at the time of this offering. Pending the use of the net proceeds as described above, we intend to invest the net proceeds in short-term, interest-bearing, investment-grade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A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and capitalization as of March 31, 2026 as follows: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actual basis; </w:t>
      </w:r>
      <w:r>
        <mc:AlternateContent>
          <mc:Choice Requires="wps">
            <w:drawing>
              <wp:anchor behindDoc="0" distT="6985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pro forma basis to give effect to the issuance and sale of 1,004,153 shares of Common Stock since March 31, 2026 pursuant to the ATM for aggregate net proceeds of $0.9 million (the “2026 ATM Issuances”); and </w:t>
      </w:r>
      <w:r>
        <mc:AlternateContent>
          <mc:Choice Requires="wps">
            <w:drawing>
              <wp:anchor behindDoc="0" distT="622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pro forma as adjusted basis to give further effect to the issuance and sale by us in this offering of 17,479,373 shares of Common Stock, together with accompanying Two-Year Milestone Warrants to purchase up to 17,479,373 shares of Common Stock and Five-Year Milestone Warrants to purchase up to 17,479,373 shares of Common Stock, at an assumed public offering price of $0.7151 per share of Common Stock (which is equal to the last reported sale price of our Common Stock on the NYSE American on July 2, 2026), and after deducting underwriting discounts and commissions and estimated offering expenses payable by us, and assuming (i) no sale of Pre-Funded Warrants in this offering, (ii) no exercise of the Representative’s over-allotment option and (iii) no exercise of any Milestone Warrants issued in this offering. </w:t>
      </w:r>
      <w:r>
        <mc:AlternateContent>
          <mc:Choice Requires="wps">
            <w:drawing>
              <wp:anchor behindDoc="0" distT="622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read this table together with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as well as our financial statements and related notes and the other financial information appearing elsewhere in this prospectus. The information presented in the capitalization table has been adjusted to reflect the effect of this current offering. </w:t>
      </w:r>
    </w:p>
    <w:tbl>
      <w:tblPr>
        <w:tblW w:w="8812" w:type="dxa"/>
        <w:jc w:val="left"/>
        <w:tblInd w:w="1393" w:type="dxa"/>
        <w:tblLayout w:type="fixed"/>
        <w:tblCellMar>
          <w:top w:w="0" w:type="dxa"/>
          <w:left w:w="0" w:type="dxa"/>
          <w:bottom w:w="28" w:type="dxa"/>
          <w:right w:w="0" w:type="dxa"/>
        </w:tblCellMar>
      </w:tblPr>
      <w:tblGrid>
        <w:gridCol w:w="3674"/>
        <w:gridCol w:w="109"/>
        <w:gridCol w:w="109"/>
        <w:gridCol w:w="109"/>
        <w:gridCol w:w="226"/>
        <w:gridCol w:w="991"/>
        <w:gridCol w:w="109"/>
        <w:gridCol w:w="109"/>
        <w:gridCol w:w="109"/>
        <w:gridCol w:w="109"/>
        <w:gridCol w:w="226"/>
        <w:gridCol w:w="991"/>
        <w:gridCol w:w="109"/>
        <w:gridCol w:w="109"/>
        <w:gridCol w:w="109"/>
        <w:gridCol w:w="109"/>
        <w:gridCol w:w="226"/>
        <w:gridCol w:w="1015"/>
        <w:gridCol w:w="109"/>
        <w:gridCol w:w="155"/>
      </w:tblGrid>
      <w:tr>
        <w:trPr/>
        <w:tc>
          <w:tcPr>
            <w:tcW w:w="36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6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of March 31,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674"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thousands, except share and per share amounts)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w:t>
            </w:r>
            <w:r>
              <w:rPr/>
              <w:t xml:space="preserve"> </w:t>
              <w:br/>
            </w:r>
            <w:r>
              <w:rPr>
                <w:spacing w:val="-3"/>
              </w:rPr>
              <w:t xml:space="preserve">Forma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 As</w:t>
            </w:r>
            <w:r>
              <w:rPr/>
              <w:t xml:space="preserve"> </w:t>
              <w:br/>
            </w:r>
            <w:r>
              <w:rPr>
                <w:spacing w:val="-3"/>
              </w:rPr>
              <w:t xml:space="preserve">adjusted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674"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91" w:type="dxa"/>
            <w:tcBorders>
              <w:bottom w:val="double" w:sz="8" w:space="0" w:color="000000"/>
            </w:tcBorders>
            <w:shd w:fill="CCEEFF" w:val="clear"/>
            <w:tcMar>
              <w:bottom w:w="50" w:type="dxa"/>
            </w:tcMar>
            <w:vAlign w:val="center"/>
          </w:tcPr>
          <w:p>
            <w:pPr>
              <w:pStyle w:val="TableContents"/>
              <w:bidi w:val="0"/>
              <w:spacing w:before="0" w:after="283"/>
              <w:jc w:val="right"/>
              <w:rPr/>
            </w:pPr>
            <w:r>
              <w:rPr/>
              <w:t>6,243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91" w:type="dxa"/>
            <w:tcBorders>
              <w:bottom w:val="double" w:sz="8" w:space="0" w:color="000000"/>
            </w:tcBorders>
            <w:shd w:fill="CCEEFF" w:val="clear"/>
            <w:tcMar>
              <w:bottom w:w="50" w:type="dxa"/>
            </w:tcMar>
            <w:vAlign w:val="center"/>
          </w:tcPr>
          <w:p>
            <w:pPr>
              <w:pStyle w:val="TableContents"/>
              <w:bidi w:val="0"/>
              <w:spacing w:before="0" w:after="283"/>
              <w:jc w:val="right"/>
              <w:rPr/>
            </w:pPr>
            <w:r>
              <w:rPr/>
              <w:t>7,129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18,155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74" w:type="dxa"/>
            <w:tcBorders/>
            <w:tcMar>
              <w:bottom w:w="0" w:type="dxa"/>
            </w:tcMar>
            <w:vAlign w:val="center"/>
          </w:tcPr>
          <w:p>
            <w:pPr>
              <w:pStyle w:val="TableContents"/>
              <w:bidi w:val="0"/>
              <w:spacing w:before="0" w:after="283"/>
              <w:jc w:val="left"/>
              <w:rPr>
                <w:spacing w:val="4"/>
              </w:rPr>
            </w:pPr>
            <w:r>
              <w:rPr>
                <w:spacing w:val="4"/>
              </w:rPr>
              <w:t xml:space="preserve">Stockholders’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674"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Class A common stock, par value $0.0001 per share; 1,040,000,000 </w:t>
            </w:r>
            <w:r>
              <w:rPr/>
              <w:br/>
            </w:r>
            <w:r>
              <w:rPr>
                <w:spacing w:val="4"/>
              </w:rPr>
              <w:t xml:space="preserve">shares authorized at March 31, 2026; 25,303,058 shares issued and </w:t>
            </w:r>
            <w:r>
              <w:rPr/>
              <w:br/>
            </w:r>
            <w:r>
              <w:rPr>
                <w:spacing w:val="4"/>
              </w:rPr>
              <w:t xml:space="preserve">outstanding, actual; 26,307,211 shares issued and outstanding, </w:t>
            </w:r>
            <w:r>
              <w:rPr/>
              <w:br/>
            </w:r>
            <w:r>
              <w:rPr>
                <w:spacing w:val="4"/>
              </w:rPr>
              <w:t xml:space="preserve">pro forma, 43,786,584 shares issued and outstanding, pro forma </w:t>
            </w:r>
            <w:r>
              <w:rPr/>
              <w:br/>
            </w:r>
            <w:r>
              <w:rPr>
                <w:spacing w:val="4"/>
              </w:rPr>
              <w:t xml:space="preserve">as adjusted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 xml:space="preserve">12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74" w:type="dxa"/>
            <w:tcBorders/>
            <w:tcMar>
              <w:bottom w:w="0" w:type="dxa"/>
            </w:tcMar>
            <w:vAlign w:val="center"/>
          </w:tcPr>
          <w:p>
            <w:pPr>
              <w:pStyle w:val="TableContents"/>
              <w:bidi w:val="0"/>
              <w:spacing w:before="0" w:after="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465,850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91" w:type="dxa"/>
            <w:tcBorders/>
            <w:tcMar>
              <w:bottom w:w="0" w:type="dxa"/>
            </w:tcMar>
            <w:vAlign w:val="center"/>
          </w:tcPr>
          <w:p>
            <w:pPr>
              <w:pStyle w:val="TableContents"/>
              <w:bidi w:val="0"/>
              <w:spacing w:before="0" w:after="283"/>
              <w:jc w:val="right"/>
              <w:rPr/>
            </w:pPr>
            <w:r>
              <w:rPr/>
              <w:t>466,736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 xml:space="preserve">477,760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674" w:type="dxa"/>
            <w:tcBorders/>
            <w:shd w:fill="CCEEFF" w:val="clear"/>
            <w:tcMar>
              <w:bottom w:w="0" w:type="dxa"/>
            </w:tcMar>
            <w:vAlign w:val="center"/>
          </w:tcPr>
          <w:p>
            <w:pPr>
              <w:pStyle w:val="TableContents"/>
              <w:bidi w:val="0"/>
              <w:spacing w:before="0" w:after="0"/>
              <w:jc w:val="left"/>
              <w:rPr>
                <w:spacing w:val="4"/>
              </w:rPr>
            </w:pPr>
            <w:r>
              <w:rPr>
                <w:spacing w:val="4"/>
              </w:rPr>
              <w:t xml:space="preserve">Accumulated other comprehensive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9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67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Accumulated deficit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91" w:type="dxa"/>
            <w:tcBorders>
              <w:bottom w:val="single" w:sz="2" w:space="0" w:color="000000"/>
            </w:tcBorders>
            <w:tcMar>
              <w:bottom w:w="50" w:type="dxa"/>
            </w:tcMar>
            <w:vAlign w:val="center"/>
          </w:tcPr>
          <w:p>
            <w:pPr>
              <w:pStyle w:val="TableContents"/>
              <w:bidi w:val="0"/>
              <w:spacing w:before="0" w:after="283"/>
              <w:jc w:val="right"/>
              <w:rPr/>
            </w:pPr>
            <w:r>
              <w:rPr/>
              <w:t>(482,612)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91" w:type="dxa"/>
            <w:tcBorders>
              <w:bottom w:val="single" w:sz="2" w:space="0" w:color="000000"/>
            </w:tcBorders>
            <w:tcMar>
              <w:bottom w:w="50" w:type="dxa"/>
            </w:tcMar>
            <w:vAlign w:val="center"/>
          </w:tcPr>
          <w:p>
            <w:pPr>
              <w:pStyle w:val="TableContents"/>
              <w:bidi w:val="0"/>
              <w:spacing w:before="0" w:after="283"/>
              <w:jc w:val="right"/>
              <w:rPr/>
            </w:pPr>
            <w:r>
              <w:rPr/>
              <w:t>(482,612)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 xml:space="preserve">(482,612) </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674"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stockholders’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91" w:type="dxa"/>
            <w:tcBorders>
              <w:bottom w:val="single" w:sz="2" w:space="0" w:color="000000"/>
            </w:tcBorders>
            <w:shd w:fill="CCEEFF" w:val="clear"/>
            <w:tcMar>
              <w:bottom w:w="50" w:type="dxa"/>
            </w:tcMar>
            <w:vAlign w:val="center"/>
          </w:tcPr>
          <w:p>
            <w:pPr>
              <w:pStyle w:val="TableContents"/>
              <w:bidi w:val="0"/>
              <w:spacing w:before="0" w:after="283"/>
              <w:jc w:val="right"/>
              <w:rPr/>
            </w:pPr>
            <w:r>
              <w:rPr/>
              <w:t>(16,752)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91" w:type="dxa"/>
            <w:tcBorders>
              <w:bottom w:val="single" w:sz="2" w:space="0" w:color="000000"/>
            </w:tcBorders>
            <w:shd w:fill="CCEEFF" w:val="clear"/>
            <w:tcMar>
              <w:bottom w:w="50" w:type="dxa"/>
            </w:tcMar>
            <w:vAlign w:val="center"/>
          </w:tcPr>
          <w:p>
            <w:pPr>
              <w:pStyle w:val="TableContents"/>
              <w:bidi w:val="0"/>
              <w:spacing w:before="0" w:after="283"/>
              <w:jc w:val="right"/>
              <w:rPr/>
            </w:pPr>
            <w:r>
              <w:rPr/>
              <w:t>(15,866)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(4,840)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674" w:type="dxa"/>
            <w:tcBorders/>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91" w:type="dxa"/>
            <w:tcBorders>
              <w:bottom w:val="double" w:sz="8" w:space="0" w:color="000000"/>
            </w:tcBorders>
            <w:tcMar>
              <w:bottom w:w="50" w:type="dxa"/>
            </w:tcMar>
            <w:vAlign w:val="center"/>
          </w:tcPr>
          <w:p>
            <w:pPr>
              <w:pStyle w:val="TableContents"/>
              <w:bidi w:val="0"/>
              <w:spacing w:before="0" w:after="283"/>
              <w:jc w:val="right"/>
              <w:rPr/>
            </w:pPr>
            <w:r>
              <w:rPr/>
              <w:t>8,630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91" w:type="dxa"/>
            <w:tcBorders>
              <w:bottom w:val="double" w:sz="8" w:space="0" w:color="000000"/>
            </w:tcBorders>
            <w:tcMar>
              <w:bottom w:w="50" w:type="dxa"/>
            </w:tcMar>
            <w:vAlign w:val="center"/>
          </w:tcPr>
          <w:p>
            <w:pPr>
              <w:pStyle w:val="TableContents"/>
              <w:bidi w:val="0"/>
              <w:spacing w:before="0" w:after="283"/>
              <w:jc w:val="right"/>
              <w:rPr/>
            </w:pPr>
            <w:r>
              <w:rPr/>
              <w:t>9,516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15" w:type="dxa"/>
            <w:tcBorders>
              <w:bottom w:val="double" w:sz="8" w:space="0" w:color="000000"/>
            </w:tcBorders>
            <w:tcMar>
              <w:bottom w:w="50" w:type="dxa"/>
            </w:tcMar>
            <w:vAlign w:val="center"/>
          </w:tcPr>
          <w:p>
            <w:pPr>
              <w:pStyle w:val="TableContents"/>
              <w:bidi w:val="0"/>
              <w:spacing w:before="0" w:after="283"/>
              <w:jc w:val="right"/>
              <w:rPr/>
            </w:pPr>
            <w:r>
              <w:rPr/>
              <w:t>20,542</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5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the number of shares of Common Stock to be outstanding immediately after this offering is based on 25,303,058 shares outstanding as of March 31, 2026 and excludes, as of March 31, 2026: </w:t>
      </w:r>
    </w:p>
    <w:p>
      <w:pPr>
        <w:pStyle w:val="TextBody"/>
        <w:bidi w:val="0"/>
        <w:spacing w:lineRule="atLeast" w:line="240" w:before="11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158,005 shares of Common Stock issuable upon the exercise of options outstanding, with a weighted-average exercise price of $296.85 per share; </w:t>
      </w:r>
      <w:r>
        <mc:AlternateContent>
          <mc:Choice Requires="wps">
            <w:drawing>
              <wp:anchor behindDoc="0" distT="6985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11,623,766 shares of Common Stock issuable upon the vesting and settlement of RSUs; </w:t>
      </w:r>
      <w:r>
        <mc:AlternateContent>
          <mc:Choice Requires="wps">
            <w:drawing>
              <wp:anchor behindDoc="0" distT="622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1,635 shares of Common Stock issuable pursuant to vested RSUs that have not been issued as of March 31, 2026, of which 274 shares of Common Stock will be withheld to satisfy tax obligations; </w:t>
      </w:r>
      <w:r>
        <mc:AlternateContent>
          <mc:Choice Requires="wps">
            <w:drawing>
              <wp:anchor behindDoc="0" distT="622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8,188,097 shares of Common Stock that were reserved for future issuance under our 2023 Plan and 2025 EIP, as well as any automatic increases in the number of shares of our Common Stock reserved for future issuance under the 2023 Plan; </w:t>
      </w:r>
      <w:r>
        <mc:AlternateContent>
          <mc:Choice Requires="wps">
            <w:drawing>
              <wp:anchor behindDoc="0" distT="609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149,036 shares of Common Stock that were reserved for future issuance under our ESPP, as well as any automatic increases in the number of shares of our Common Stock reserved for future issuance under the ESPP; </w:t>
      </w:r>
      <w:r>
        <mc:AlternateContent>
          <mc:Choice Requires="wps">
            <w:drawing>
              <wp:anchor behindDoc="0" distT="609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36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of 18,389,740 shares of Common Stock issuable upon the exercise of private placement warrants, at a weighted average exercise price of $4.97 per share, and an aggregate of 24,400,289 shares of Common Stock issuable upon the exercise of pre-funded warrants, at a weighted average exercise price of $0.0001 per share, in each case to purchase shares of our Common Stock; </w:t>
      </w:r>
      <w:r>
        <mc:AlternateContent>
          <mc:Choice Requires="wps">
            <w:drawing>
              <wp:anchor behindDoc="0" distT="0" distB="0" distL="254000" distR="0" simplePos="0" locked="0" layoutInCell="1" allowOverlap="1" relativeHeight="49">
                <wp:simplePos x="0" y="0"/>
                <wp:positionH relativeFrom="column">
                  <wp:align>left</wp:align>
                </wp:positionH>
                <wp:positionV relativeFrom="line">
                  <wp:posOffset>635</wp:posOffset>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3,268,860 shares of Common Stock issuable upon conversion of the Convertible Note, assuming at a conversion price of $1.00 per share and the maximum accrued interest prior to the maturity date of the Convertible Note; and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208,657 Contingent Consideration Shares issuable subject to achievement of certain milestone provisions set forth in our Business Combination Agreement.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$1.00 increase or decrease in the assumed public offering price of $0.7151 per share, which is the last reported sale price of our Common Stock on the NYSE American on July 2, 2026, would increase or decrease our pro forma as adjusted cash and cash equivalents, total stockholders’ equity and total capitalization by approximately $16.4 million, $16.4 million and $16.4 million, respectively, after deducting underwriting discounts and commissions and estimated offering expenses payable by us, assuming that the number of shares of Common Stock offered by us, as set forth on the cover page of this prospectus, remains the same. Similarly, an increase or decrease in 500,000 shares of Common Stock offered by us in this offering would increase or decrease our pro forma as adjusted cash and cash equivalents, total stockholders’ equity and total capitalization by approximately $0.3 million, $0.3 million and $0.3 million, respectively, assuming that the assumed public offering price remains the same and after deducting underwriting discounts and commissions and estimated offering expenses payable by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IL"/>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invest in our securities in this offering, your ownership interest will be immediately diluted to the extent of the difference between the public offering price per share of our Common Stock and the pro forma as adjusted net tangible book value per share of our Common Stock immediately after this offering.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our historical net tangible book value (deficit), was $(16.8) million, or $(0.66) per share of our Common Stock. Net tangible book value (deficit) per share represents our total tangible assets (total assets less intangible assets) less total liabilities, divided by the total number of our outstanding shares of Common Stock as of March 31, 2026. After giving effect to the 2026 ATM Issuances, our pro forma net tangible book value (deficit) as of March 31, 2026, would have been approximately $(15.9) million, or $(0.60) per share of our Common Stock.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further effect to the issuance and sale of 17,479,373 shares of Common Stock in this offering, together with the accompanying Two-Year Milestone Warrants and Five-Year Milestone Warrants, assuming a public offering price of $0.7151 per share of Common Stock, the most recent reported sale price of our Common Stock on July 2, 2026, and assuming no sale of Pre-Funded Warrants and no exercise of any Milestone Warrants, and our receipt of the net proceeds from such issuance and sale, after deducting estimated underwriting discounts and commissions and estimated offering expenses payable by us, our pro forma as adjusted net tangible book value as of March 31, 2026 would have been approximately $(4.8) million, or $(0.11) per share of our Common Stock. This represents an immediate increase in pro forma net tangible book value of approximately $0.49 per share to our existing stockholders and an immediate dilution of $0.83 per share to new investors participating in this offering.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Dilution per share to investors participating in this offering is determined by subtracting the pro forma as adjusted net tangible book value per share after this offering from the public offering price per share paid by investors participating in this offering. The following table illustrates this dilution: </w:t>
      </w:r>
    </w:p>
    <w:tbl>
      <w:tblPr>
        <w:tblW w:w="8812" w:type="dxa"/>
        <w:jc w:val="left"/>
        <w:tblInd w:w="1393" w:type="dxa"/>
        <w:tblLayout w:type="fixed"/>
        <w:tblCellMar>
          <w:top w:w="0" w:type="dxa"/>
          <w:left w:w="0" w:type="dxa"/>
          <w:bottom w:w="0" w:type="dxa"/>
          <w:right w:w="0" w:type="dxa"/>
        </w:tblCellMar>
      </w:tblPr>
      <w:tblGrid>
        <w:gridCol w:w="124"/>
        <w:gridCol w:w="7177"/>
        <w:gridCol w:w="109"/>
        <w:gridCol w:w="109"/>
        <w:gridCol w:w="109"/>
        <w:gridCol w:w="226"/>
        <w:gridCol w:w="69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177" w:type="dxa"/>
            <w:tcBorders/>
            <w:shd w:fill="CCEEFF" w:val="clear"/>
            <w:vAlign w:val="center"/>
          </w:tcPr>
          <w:p>
            <w:pPr>
              <w:pStyle w:val="TableContents"/>
              <w:bidi w:val="0"/>
              <w:spacing w:before="0" w:after="0"/>
              <w:jc w:val="left"/>
              <w:rPr>
                <w:spacing w:val="4"/>
              </w:rPr>
            </w:pPr>
            <w:r>
              <w:rPr>
                <w:spacing w:val="4"/>
              </w:rPr>
              <w:t xml:space="preserve">Assumed 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94" w:type="dxa"/>
            <w:tcBorders/>
            <w:shd w:fill="CCEEFF" w:val="clear"/>
            <w:vAlign w:val="center"/>
          </w:tcPr>
          <w:p>
            <w:pPr>
              <w:pStyle w:val="TableContents"/>
              <w:bidi w:val="0"/>
              <w:spacing w:before="0" w:after="283"/>
              <w:jc w:val="right"/>
              <w:rPr/>
            </w:pPr>
            <w:r>
              <w:rPr/>
              <w:t xml:space="preserve">0.72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77" w:type="dxa"/>
            <w:tcBorders/>
            <w:vAlign w:val="center"/>
          </w:tcPr>
          <w:p>
            <w:pPr>
              <w:pStyle w:val="TableContents"/>
              <w:bidi w:val="0"/>
              <w:spacing w:before="0" w:after="0"/>
              <w:jc w:val="left"/>
              <w:rPr>
                <w:spacing w:val="4"/>
              </w:rPr>
            </w:pPr>
            <w:r>
              <w:rPr>
                <w:spacing w:val="4"/>
              </w:rPr>
              <w:t xml:space="preserve">Historical net tangible book value per share as of March 31,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94" w:type="dxa"/>
            <w:tcBorders/>
            <w:vAlign w:val="center"/>
          </w:tcPr>
          <w:p>
            <w:pPr>
              <w:pStyle w:val="TableContents"/>
              <w:bidi w:val="0"/>
              <w:spacing w:before="0" w:after="283"/>
              <w:jc w:val="right"/>
              <w:rPr/>
            </w:pPr>
            <w:r>
              <w:rPr/>
              <w:t xml:space="preserve">(0.66)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77" w:type="dxa"/>
            <w:tcBorders/>
            <w:shd w:fill="CCEEFF" w:val="clear"/>
            <w:vAlign w:val="center"/>
          </w:tcPr>
          <w:p>
            <w:pPr>
              <w:pStyle w:val="TableContents"/>
              <w:bidi w:val="0"/>
              <w:spacing w:before="0" w:after="0"/>
              <w:jc w:val="left"/>
              <w:rPr>
                <w:spacing w:val="4"/>
              </w:rPr>
            </w:pPr>
            <w:r>
              <w:rPr>
                <w:spacing w:val="4"/>
              </w:rPr>
              <w:t xml:space="preserve">Increase in historical net tangible book value per share attributable to the ATM Issuances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94" w:type="dxa"/>
            <w:tcBorders/>
            <w:shd w:fill="CCEEFF" w:val="clear"/>
            <w:vAlign w:val="center"/>
          </w:tcPr>
          <w:p>
            <w:pPr>
              <w:pStyle w:val="TableContents"/>
              <w:bidi w:val="0"/>
              <w:spacing w:before="0" w:after="283"/>
              <w:jc w:val="right"/>
              <w:rPr/>
            </w:pPr>
            <w:r>
              <w:rPr/>
              <w:t xml:space="preserve">0.06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77" w:type="dxa"/>
            <w:tcBorders/>
            <w:vAlign w:val="center"/>
          </w:tcPr>
          <w:p>
            <w:pPr>
              <w:pStyle w:val="TableContents"/>
              <w:bidi w:val="0"/>
              <w:spacing w:before="0" w:after="0"/>
              <w:jc w:val="left"/>
              <w:rPr>
                <w:spacing w:val="4"/>
              </w:rPr>
            </w:pPr>
            <w:r>
              <w:rPr>
                <w:spacing w:val="4"/>
              </w:rPr>
              <w:t xml:space="preserve">Pro forma net tangible book value per share attributable to our existing stockholders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94" w:type="dxa"/>
            <w:tcBorders/>
            <w:vAlign w:val="center"/>
          </w:tcPr>
          <w:p>
            <w:pPr>
              <w:pStyle w:val="TableContents"/>
              <w:bidi w:val="0"/>
              <w:spacing w:before="0" w:after="283"/>
              <w:jc w:val="right"/>
              <w:rPr/>
            </w:pPr>
            <w:r>
              <w:rPr/>
              <w:t xml:space="preserve">(0.60)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77" w:type="dxa"/>
            <w:tcBorders/>
            <w:shd w:fill="CCEEFF" w:val="clear"/>
            <w:vAlign w:val="center"/>
          </w:tcPr>
          <w:p>
            <w:pPr>
              <w:pStyle w:val="TableContents"/>
              <w:bidi w:val="0"/>
              <w:spacing w:before="0" w:after="0"/>
              <w:jc w:val="left"/>
              <w:rPr/>
            </w:pPr>
            <w:r>
              <w:rPr>
                <w:spacing w:val="4"/>
              </w:rPr>
              <w:t>Increase in pro forma net tangible book value per share attributable to our existing stockholders</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94" w:type="dxa"/>
            <w:tcBorders/>
            <w:shd w:fill="CCEEFF" w:val="clear"/>
            <w:vAlign w:val="center"/>
          </w:tcPr>
          <w:p>
            <w:pPr>
              <w:pStyle w:val="TableContents"/>
              <w:bidi w:val="0"/>
              <w:spacing w:before="0" w:after="283"/>
              <w:jc w:val="right"/>
              <w:rPr/>
            </w:pPr>
            <w:r>
              <w:rPr/>
              <w:t xml:space="preserve">0.49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177" w:type="dxa"/>
            <w:tcBorders/>
            <w:vAlign w:val="center"/>
          </w:tcPr>
          <w:p>
            <w:pPr>
              <w:pStyle w:val="TableContents"/>
              <w:bidi w:val="0"/>
              <w:spacing w:before="0" w:after="0"/>
              <w:jc w:val="left"/>
              <w:rPr>
                <w:spacing w:val="4"/>
              </w:rPr>
            </w:pPr>
            <w:r>
              <w:rPr>
                <w:spacing w:val="4"/>
              </w:rPr>
              <w:t xml:space="preserve">Pro forma as adjusted net tangible book value per share immediately after this offering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94" w:type="dxa"/>
            <w:tcBorders/>
            <w:vAlign w:val="center"/>
          </w:tcPr>
          <w:p>
            <w:pPr>
              <w:pStyle w:val="TableContents"/>
              <w:bidi w:val="0"/>
              <w:spacing w:before="0" w:after="283"/>
              <w:jc w:val="right"/>
              <w:rPr/>
            </w:pPr>
            <w:r>
              <w:rPr/>
              <w:t xml:space="preserve">(0.11)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177" w:type="dxa"/>
            <w:tcBorders/>
            <w:shd w:fill="CCEEFF" w:val="clear"/>
            <w:vAlign w:val="center"/>
          </w:tcPr>
          <w:p>
            <w:pPr>
              <w:pStyle w:val="TableContents"/>
              <w:bidi w:val="0"/>
              <w:spacing w:before="0" w:after="0"/>
              <w:ind w:left="200" w:right="0" w:hanging="200"/>
              <w:jc w:val="left"/>
              <w:rPr/>
            </w:pPr>
            <w:r>
              <w:rPr>
                <w:spacing w:val="4"/>
              </w:rPr>
              <w:t xml:space="preserve">Dilution in pro forma as adjusted net tangible book value per share to new investors participating in </w:t>
            </w:r>
            <w:r>
              <w:rPr/>
              <w:br/>
            </w:r>
            <w:r>
              <w:rPr>
                <w:spacing w:val="4"/>
              </w:rPr>
              <w:t xml:space="preserve">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94" w:type="dxa"/>
            <w:tcBorders/>
            <w:shd w:fill="CCEEFF" w:val="clear"/>
            <w:vAlign w:val="center"/>
          </w:tcPr>
          <w:p>
            <w:pPr>
              <w:pStyle w:val="TableContents"/>
              <w:bidi w:val="0"/>
              <w:spacing w:before="0" w:after="283"/>
              <w:jc w:val="right"/>
              <w:rPr/>
            </w:pPr>
            <w:r>
              <w:rPr/>
              <w:t>0.83</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dilution information discussed above is illustrative and will change based on the actual number of shares and public offering price and other terms of this offering determined at pricing. If the Representative exercises its option to purchase 2,621,905 additional shares of Common Stock in full, our pro forma as adjusted net tangible book value per share after this offering would be approximately $(0.07) per share, and the dilution in pro forma as adjusted net tangible book value per share to new investors participating in this offering would be $0.79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$1.00 increase or decrease in the assumed public offering price of $0.7151 per share, the last reported sale price of our Common Stock on the NYSE American on July 2, 2026, would increase or decrease our pro forma as adjusted net tangible book value per share after this offering by $0.37 per share and the dilution per share to investors participating in this offering would increase or decrease by $0.34 per share, assuming that the number of shares of Common Stock offered by us, as set forth on the cover page of this prospectus, remains the same, and after deducting underwriting discounts and commissions and estimated offering expenses payable by us. Similarly, an increase or decrease of 500,000 shares of Common Stock offered by us would increase or decrease the pro forma as adjusted net tangible book value after this offering by $0.01 per share and decrease or increase the dilution per share to investors participating in this offering to $0.71 per share, assuming that the assumed public offering price remains the same, and after deducting underwriting discounts and commissions and estimated offering expenses payable by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our outstanding exercisable stock options are exercised you could experience further dilution. To the extent that we raise additional capital through the sale of additional equity, the issuance of any of our shares of common stock could result in further dilution to our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the above is based on 25,303,058 shares outstanding as of March 31, 2026 and excludes as of March 31, 2026: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158,005 shares of Common Stock issuable upon the exercise of options outstanding, with a weighted-average exercise price of $296.85 per share;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11,623,766 shares of Common Stock issuable upon the vesting and settlement of RSUs;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1,635 shares of Common Stock issuable pursuant to vested RSUs that have not been issued as of March 31, 2026, of which 274 shares of Common Stock will be withheld to satisfy tax obligations;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8,188,097 shares of Common Stock that were reserved for future issuance under our 2023 Plan and 2025 EIP, as well as any automatic increases in the number of shares of our Common Stock reserved for future issuance under the 2023 Plan;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149,036 shares of Common Stock that were reserved for future issuance under our ESPP, as well as any automatic increases in the number of shares of our Common Stock reserved for future issuance under the ESPP;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aggregate of 18,389,740 shares of Common Stock issuable upon the exercise of private placement warrants, at a weighted average exercise price of $4.97 per share, and an aggregate of 24,400,289 shares of Common Stock issuable upon the exercise of pre-funded warrants, at a weighted average exercise price of $0.0001 per share, in each case to purchase shares of our Common Stock;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3,268,860 shares of Common Stock issuable upon conversion of the Convertible Note, assuming at a conversion price of $1.00 per share and the maximum accrued interest prior to the maturity date of the Convertible Note; and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208,657 Contingent Consideration Shares issuable subject to achievement of certain milestone provisions set forth in our Business Combination Agreement.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MPOO"/>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 OF OUR COMMON STOCK AND RELATED STOCKHOLDER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NYSE American under the symbol “AEON”. On July 2, 2026, the closing price of our Common Stock as reported on the NYSE American was $0.7151 per share. There is no established public trading market for the pre-funded warrants, and we do not expect a market to develop. In addition, we do not intend to apply for a listing of the pre-funded warrants on any national securities exchange.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July 2, 2026, there were approximately 464 registered holders of our Common Stock. This number does not include stockholders for whom shares were held in “nominee” or “street name.”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cash dividends on our Common Stock. We currently intend to retain all available funds and any future earnings to use in the operation of our business and do not anticipate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OS"/>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summarizes some of the terms of our certificate of incorporation and bylaws and the General Corporation Law of the State of Delaware (the “DGCL”). This description is summarized from, and qualified in its entirety by reference to, our certificate of incorporation and bylaws, each of which has been publicly filed with the SEC, as well as the relevant provisions of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purpose is to engage in any lawful act or activity for which corporations may be organized under the DGCL. The certificate of incorporation authorizes the issuance of 1,041,000,000 shares, consisting of 1,040,000,000 shares of Class A Common Stock, and 1,000,000 shares of preferred stock, $0.0001 par value (“Preferred Stock”). As of the date of this prospectus, no shares of Preferred Stock are issued or outstanding. Unless our board of directors (the “Board”) determines otherwise, we will issue all shares of our capital stock in uncertificated form.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Power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law or as otherwise provided in any certificate of designation for any series of Preferred Stock, the holders of our Common Stock possess all voting power for the election of directors and all other matters requiring stockholder action. Holders of Common Stock are entitled to one vote per share on matters to be voted on by stockholders.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Common Stock will be entitled to receive such dividends, if any, as may be declared from time to time by our Board in accordance with applicable law. Any payment of cash dividends in the future will be dependent upon our revenues and earnings, if any, capital requirements and general financial conditions.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Dissolution and Winding Up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voluntary or involuntary liquidation, dissolution or winding-up, our net assets will be distributed pro rata to the holders of our Common Stock, subject to the rights of the holders of Preferred Stock, if any.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Preemptive or Other Rights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sinking fund provisions applicable to our Common Stock. Holders of shares of our Common Stock do not have subscription, redemption or conversion rights. All of the outstanding shares of Common Stock will be validly issued, fully paid and non-assessable. Each holder of Common Stock is subject to, and may be adversely affected by, the rights of the holders of any series of our Preferred Stock that we may designate and issue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certificate of incorporation provides that shares of Preferred Stock may be issued from time to time in one or more series. Our Board will be authorized to fix designations to determine and fix the number of shares of such series and such powers, including voting powers, full or limited, or no voting powers, and such designations, preferences and relative participating, optional or other special rights, and any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Our Board will be able to, without stockholder approval, issue Preferred Stock with voting and other rights that could adversely affect the voting power and other rights of the holders of our Common Stock, which could have anti-takeover effects. The ability of our Board to issue Preferred Stock without stockholder approval could have the effect of delaying,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deferring or preventing a change of control of AEON or the removal of existing management. We have no Preferred Stock currently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Exclusive Jurisdiction of Certain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 that, unless we consent in writing to the selection of an alternative forum, the Court of Chancery of the State court of the State of Delaware (or, in the event that the Chancery Court does not have jurisdiction, the federal district court for the District of Delaware or other state courts of the State of Delaware) will, to the fullest extent permitted by law, be the sole and exclusive forum for (i) any derivative action, suit or proceeding brought on our behalf; (ii) any action, suit or proceeding asserting a claim of breach of a fiduciary duty owed by any of our current or former directors, officers or stockholders to us or our stockholders; (iii) any action, suit or proceeding arising pursuant to any provision of the DGCL or our certificate of incorporation or bylaws (as either may be amended from time to time); or (iv) any action, suit or proceeding asserting a claim against us governed by the internal affairs doctrine. This exclusive forum provision will not apply to any causes of action arising under the Securities Act, or the Exchange Act or any other claim for which the federal courts have exclusive jurisdiction. Stockholders cannot waive compliance with the Securities Act, the Exchange Act or any other federal securities laws or the rules and regulations thereunder. Unless we consent in writing to the selection of an alternative forum, the United States federal district courts shall be the sole and exclusive forum for resolving any complaint asserting a cause of action arising under the Securities Act. In addition, our certificate of incorporation provides that any person or entity purchasing or otherwise acquiring any interest in shares of our capital stock is deemed to have notice of and consented to these exclusive forum provisions. These forum selection provisions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these forum selection provisions may impose additional litigation costs for stockholders who determine to pursue any such lawsuits against 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our certificate of incorporation or bylaws precludes stockholders that bring suit to enforce any liability or duty under Exchange Act from bringing such claims in federal court to the extent that the Exchange Act confers exclusive federal jurisdiction over such claims, subject to applicable law. Although our certificate of incorporation contains the choice of forum provisions described above, it is possible that a court could find that these provisions are inapplicable for a particular claim or action or that such provisions are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forum selection provisions as written in connection with claims arising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Dissenters’ Rights of Appraisals and Payment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with certain exceptions, our stockholders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of Directors and Vacancies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rights of the holders of any series of Preferred Stock to elect additional directors under specified circumstances and subject to the certificate of incorporation, the number of directors of our Board shall be fixed from time to time by resolution duly adopted by the Board. The Board is divided into three classes, designated Class I, II and III with Class I consisting of three directors and next up for re-election in 2027, Class II consisting of two directors and next up for re-election in 2028, and Class III consisting of two directors and next up for re-election in 2029. Each class of directors will be elected by our stockholders upon the expiration of the applicable class’s three-year term.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bylaws, except as otherwise provided by the certificate of incorporation, at all meetings of stockholders called for the election of directors, a plurality of the votes properly cast will be sufficient to elect such directors to our Board. Except as the DGCL may otherwise require and subject to the rights, if 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any series of Preferred Stock, in the interim between annual meetings of stockholders or special meetings of stockholders called for the election of directors and/or the removal of one or more directors and the filling of any vacancy in connection therewith, newly created directorships, death, resignation or disqualification, and any vacancies on our Board, including unfilled vacancies resulting from the removal of directors, may be filled only by the affirmative vote of a majority of the remaining directors then in office, even though less than a quorum, or by a sole remaining director. All directors will hold office until the expiration of their respective terms of office and until their successors will have been elected and qualified. Subject to the rights, if any, of any series of Preferred Stock, any director may be removed from office only with cause and only by the affirmative vote of the holders of at least two-thirds of the voting power of all of the then outstanding shares of our voting stock then entitled to vote at an election of directors.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provisions, any director elected pursuant to the right, if any, of the holders of Preferred Stock to elect additional directors under specified circumstances will serve for such term or terms and pursuant to such other provisions as specified in the relevant certificate of designations related to such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33.34% of the voting power of the capital stock issued and outstanding and entitled to vote thereat, present in person, or by remote communication, if applicable, or represented by proxy, will constitute a quorum at all meetings of the stockholders for the transaction of business except as otherwise required by law or provided by the certificate of incorporation. A quorum, once established at a meeting, shall not be broken by the withdrawal of enough votes to leave less than a quorum. If, however, such quorum will not be present or represented at any meeting of the stockholders, then either (i) the person presiding over the meeting or (ii) the holders of a majority of the voting power of the stockholders entitled to vote at the meeting, present in person, or by remote communication, if applicable, or represented by proxy, will have power to recess the meeting, or to adjourn the meeting from time to time, without notice other than announcement at the meeting, until a quorum will be present or represented. At such recessed or adjourned meeting at which a quorum will be present or represented, any business may be transacted which might have been transacted at the meeting as originally noticed. If the adjournment is for more than 30 days, or if after the adjournment a new record date is fixed for the adjourned meeting, a notice of the adjourned meeting will be given to each stockholder entitled to vote at such adjourned meeting as of the record date fixed for notice of such adjourned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provisions of our certificate of incorporation, bylaws, and laws of the State of Delaware, where we are incorporated, may delay, discourage or make more difficult a takeover attempt that a stockholder might consider in his, her or its best interest. These provisions may also adversely affect prevailing market prices for the Common Stock. We expect that these provisions, which are summarized below, will discourage coercive takeover practices or inadequate takeover bids. We believe that the benefits of increased protection give us the potential ability to negotiate with the proponent of an unsolicited proposal to acquire or restructure AEON and outweigh the disadvantage of discouraging those proposals because negotiation of the proposals could result in an improvement of their terms. However, they also give our Board the power to discourage mergers that some stockholders may favor.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things, the certificate of incorporation and bylaws (as amended from time to time):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 the Board to issue shares of Preferred Stock, with any rights, preferences and privileges as they may designate;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the number of directors of our Board may be changed only by resolution of our Board;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subject to the rights of any series of Preferred Stock to elect directors, directors may be removed only with cause by the holders of at least two-thirds of the voting power of all of AEON’s then-outstanding shares of voting stock entitled to vote at an election of directors;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all vacancies, subject to the rights of any series of Preferred Stock, including newly created directorships, may, except as otherwise required by law, be filled exclusively by the affirmative vote of a majority of directors then in office, even if less than a quorum; </w:t>
      </w:r>
      <w:r>
        <mc:AlternateContent>
          <mc:Choice Requires="wps">
            <w:drawing>
              <wp:anchor behindDoc="0" distT="0" distB="0" distL="254000" distR="0" simplePos="0" locked="0" layoutInCell="1" allowOverlap="1" relativeHeight="63">
                <wp:simplePos x="0" y="0"/>
                <wp:positionH relativeFrom="column">
                  <wp:align>left</wp:align>
                </wp:positionH>
                <wp:positionV relativeFrom="line">
                  <wp:posOffset>635</wp:posOffset>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 </w:t>
      </w:r>
      <w:r>
        <mc:AlternateContent>
          <mc:Choice Requires="wps">
            <w:drawing>
              <wp:anchor behindDoc="0" distT="889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subject to the rights of any series of Preferred Stock, special meetings of our stockholders may be called only by or at the direction of our Board, the chairperson of our Board, the Chief Executive Officer, the President or the Secretary; </w:t>
      </w:r>
      <w:r>
        <mc:AlternateContent>
          <mc:Choice Requires="wps">
            <w:drawing>
              <wp:anchor behindDoc="0" distT="889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that our Board will be divided into three classes of directors, with the directors serving three-year terms, therefore making it more difficult for stockholders to change the composition of the board of directors; and </w:t>
      </w:r>
      <w:r>
        <mc:AlternateContent>
          <mc:Choice Requires="wps">
            <w:drawing>
              <wp:anchor behindDoc="0" distT="889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provide for cumulative voting rights, therefore allowing the holders of a majority of the shares of Common Stock entitled to vote in any election of directors to elect all of the directors standing for election, if they should so choose. </w:t>
      </w:r>
      <w:r>
        <mc:AlternateContent>
          <mc:Choice Requires="wps">
            <w:drawing>
              <wp:anchor behindDoc="0" distT="889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combination of these provisions make it more difficult for the existing stockholders to replace our Board as well as for another party to obtain control of AEON by replacing our Board. Because our Board will have the power to retain and discharge its officers, these provisions could also make it more difficult for existing stockholders or another party to effect a change in management. In addition, the authorization of undesignated Preferred Stock will make it possible for our Board to issue Preferred Stock with voting or other rights or preferences that could impede the success of any attempt to change the control of AEON.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are intended to enhance the likelihood of continued stability in the composition of our Board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Anti-Takeover Provisions of Delaware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DGCL. This statute prevents certain Delaware corporations, under certain circumstances, from engaging in a “business combination” with: a stockholder who owns 15% or more of the pertinent corporation’s outstanding voting stock (otherwise known as an “interested stockholder”), or an affiliate or associate of the interested stockholder, for three years following the date that the stockholder became an interested stockholder.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 DGCL Section 203, “business combination” includes, among other things, a merger or sale of more than 10% of a corporation’s assets. However, Section 203 would not apply if: </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board of directors approves either the business combination or the transaction that made the stockholder an “interested stockholder” prior to the date of the business combination or transaction, as applicable; </w:t>
      </w:r>
      <w:r>
        <mc:AlternateContent>
          <mc:Choice Requires="wps">
            <w:drawing>
              <wp:anchor behindDoc="0" distT="889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 </w:t>
      </w:r>
      <w:r>
        <mc:AlternateContent>
          <mc:Choice Requires="wps">
            <w:drawing>
              <wp:anchor behindDoc="0" distT="889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subsequent to the date of the business combination, such business combination is approved by our Board and authorized at an annual or special meeting of stockholders, and not by written consent, by an affirmative vote of at least two-thirds of the outstanding voting stock not owned by the interested stockholder. </w:t>
      </w:r>
      <w:r>
        <mc:AlternateContent>
          <mc:Choice Requires="wps">
            <w:drawing>
              <wp:anchor behindDoc="0" distT="8890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may have the effect of delaying, deferring, or preventing changes in control of AEON.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law, the right to vote cumulatively does not exist unless the certificate of incorporation specifically authorizes cumulative voting. Our certificate of incorporation does not authorize cumulative voting.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Liability and Indemnification of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DGCL authorizes corporations to limit or eliminate the personal liability of directors of corporations and their stockholders for monetary damages for breaches of directors’ fiduciary duties, subject to certain exceptions. Our certificate of incorporation provides that we will indemnify our officers and directors to the fullest extent authorized or permitted by applicable law. We have entered into agreements to indemnify our directors, executive officers and other employees as determined by AEON. Under our bylaws, we are required to indemnify each of our directors and officers if the basis of the indemnitee’s involvement was by reason of the fact that the indemnitee is or was a director or officer of ours or was serving at our request as a director, officer, employee or agent for another entity. We must indemnify our officers and directors against expenses (including attorneys’ fees), judgments, fines and amounts paid in settlement actually and reasonably incurred by the indemnitee in connection with such action, suit or proceeding if the indemnitee acted in good faith and in a manner the indemnitee reasonably believed to be in or not opposed to the best interests of AEON, and, with respect to any criminal action or proceeding, had no reasonable cause to believe the indemnitee’s conduct was unlawful. Our bylaws also require us to advance expenses (including attorneys’ fees) incurred by a director or officer in defending any civil, criminal, administrative or investigative action, suit or proceeding, provided that such person undertakes to repay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Opportunities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does not expressly renounce the doctrine of corporate opportunity.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Stockholders’ Derivative 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DGCL, any of our stockholders may bring an action in our name to procure a judgment in our favor, also known as a derivative action, provided that the stockholder bringing the action is a holder of our stock at the time of the transaction to which the action relates.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transfer agent and registrar for our Common Stock is Continental Stock Transfer &amp; Trust Company. The transfer agent’s address is One State Street, 30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New York, NY, 10004.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Common Stock is listed on the NYSE American under the symbol “AEON”.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OSW"/>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SECURITIES WE ARE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pPr>
      <w:r>
        <w:rPr>
          <w:rFonts w:ascii="Times New Roman;Times;serif" w:hAnsi="Times New Roman;Times;serif"/>
          <w:b w:val="false"/>
          <w:i w:val="false"/>
          <w:caps w:val="false"/>
          <w:smallCaps w:val="false"/>
          <w:color w:val="000000"/>
          <w:spacing w:val="4"/>
          <w:sz w:val="20"/>
        </w:rPr>
        <w:t>The following is a summary of the material terms of the securities we are offering. For additional information about our authorized capital, we refer you to our third amended and restated certificate of incorporation (including any amendments thereto), amended and restated bylaws (including any amendments thereto), and our filings with the SEC that are incorporated by reference into this prospectus, including our </w:t>
      </w: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For instructions on how to find copies of these documents, please read “Where You Can Find More Information” and “Incorporation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material terms and provisions of our Common Stock and each other class of our securities which qualifies or limits our Common Stock are described under the caption “Description of Our Securities” in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Pre-Funded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terms and provisions of the Pre-Funded Warrants is not complete and is subject to, and qualified in its entirety by, the provisions of the Pre-Funded Warrants,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Duration, Exercise Price and Form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Pre-Funded Warrants are being offered in lieu of shares of our Class A Common Stock. Each Pre-Funded Warrant is exercisable for one share of Common Stock at an exercise price of $0.0001 per share. The Pre-Funded Warrants are immediately exercisable after issuance and may be exercised at any time until all of the Pre-Funded Warrants are exercised in full.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and the number of shares of Common Stock issuable upon exercise of the Pre-Funded Warrants are subject to customary adjustments in the event of stock dividends, stock splits, pro rata distributions and similar events affecting the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Pre-Funded Warrants are exercisable, at the option of the holder, in whole or in part, by delivering to us a duly executed exercise notice and payment in full of the exercise price for the number of shares of Common Stock purchased upon such exercise, except in the case of a cashless exercise as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(together with its affiliates) may not exercise any portion of a Pre-Funded Warrant to the extent that, after giving effect to such exercise, the holder would beneficially own more than 4.99% (or at the election of such holder, 9.99%) of the outstanding shares of Common Stock immediately after exercise. The beneficial ownership limitation may be increased or decreased at the holder’s election to a percentage not in excess of 19.99%, upon at least 61 days’ prior written notice to us, subject to the terms of the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Cashless Exercise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option of the holder, the Pre-Funded Warrants may be exercised on a cashless basis, in whole or in part, in lieu of making the cash payment otherwise required upon exercise. In such event, the holder will receive the net number of shares of Common Stock determined in accordance with the formula set forth in the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Fundamental Transactions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fundamental transaction (as defined in the Pre-Funded Warrants), including any reorganization, recapitalization or reclassification of the Common Stock, the sale or transfer of all or substantially all of our assets, a merger or consolidation, or any person or group becoming the beneficial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 of more than 50% of the voting power of our outstanding Common Stock, the holder of the Pre-Funded Warrants will be entitled, upon exercise of the Pre-Funded Warrants, to receive the kind and amount of securities, cash or other property that the holder would have received had the holder exercised the Pre-Funded Warrants immediately prior to the occurrence of such fundamental transaction.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securities laws, the Pre-Funded Warrants may be transferred at the option of the holder upon surrender of the Pre-Funded Warrants to us together with the appropriate instruments of transfer.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Fractional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Common Stock will be issued upon exercise of the Pre-Funded Warrants. In lieu of any fractional share otherwise issuable, we will either round up to the nearest whole share or pay a cash adjustment equal to such fractional amount multiplied by the exercise price, at our election.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Trading Market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established trading market for the Pre-Funded Warrants, and we do not expect a market to develop. We do not intend to apply for listing of the Pre-Funded Warrants on any securities exchange or other nationally recognized trading system. Without an active trading market, the liquidity of the Pre-Funded Warrants will be limited. The shares of Common Stock issuable upon exercise of the Pre-Funded Warrants are listed on the NYSE American under the symbol “AEON.”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Rights as a Stockholder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Pre-Funded Warrants or by virtue of a holder’s ownership of shares of Common Stock, holders of the Pre-Funded Warrants do not have the rights or privileges of holders of Common Stock, including voting rights, until such holders exercise their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Waivers and Amendments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term of the Pre-Funded Warrants may be amended or waived without the written consent of the holders of the Pre-Funded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Two-Year Milestone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terms and provisions of the Two-Year Milestone Warrants offered hereby is not complete and is subject to, and qualified in its entirety by, the provisions of the Two-Year Milestone Warrants, the form of which is filed as an exhibit to the registration statement of which this prospectus forms a part. Prospective investors should carefully review the terms and provisions of the form of Two-Year Milestone Warrant for a complete description of the terms and conditions of the Two-Year Milestone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Duration and Exercise Price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Two-Year Milestone Warrants have an assumed exercise price of $0.7151 per share or $0.7150 per Pre-Funded Warrant (representing 100% of the assumed public offering price of $0.7151 per share, the last reported sale price of our common stock as reported on the NYSE American on July 2, 2026 (less the $0.0001 per share exercise price in the case of the Pre-Funded Warrant)). The Two-Year Milestone Warrants will be exercisable immediately upon issuance and will expire on the earliest of (i) 5:00 p.m. (New York City time) on the second anniversary of the date of issuance and (ii) 45 days after our public announcement that we have received Type 2B meeting minutes from the FDA that do not preclude advancement of ABP-450 toward a Biologics License Application under the Section 351(k) biosimilar pathway. The exercise price and the number of shares of Common Stock issuable upon exercise of the Two-Year Milestone Warrants are subject to appropriate adjustment in the event of stock dividends, stock splits, reorganizations or similar events affecting our Common Stock. Subject to the rules and regulations of the applicable trading market, we may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term of the Two-Year Milestone Warrants, subject to the prior written consent of the holders, reduce the then current exercise price to any amount and for any period of time deemed appropriate by our board of directors.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for Common Stock or Pre-Funded Warrants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Two-Year Milestone Warrant is exercisable, at the option of the holder, for either (i) shares of Common Stock at the applicable exercise price or (ii) an equivalent number of pre-funded warrants substantially in the form of the Pre-Funded Warrant described above under “— Pre-Funded Warrants,” at a per-warrant exercise price equal to the applicable exercise price minus $0.0001. If the holder elects to exercise for pre-funded warrants, no beneficial ownership limitation will apply to such exercise.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Two-Year Milestone Warrants will be exercisable, at the option of each holder, in whole or in part, by delivering to us a duly executed exercise notice accompanied by payment in full for the number of shares of Common Stock or pre-funded warrants purchased upon such exercise (except in the case of a cashless exercise as described below). A holder (together with its Attribution Parties) may not exercise any portion of a Two-Year Milestone Warrant for shares of Common Stock to the extent that the holder would beneficially own more than 4.99% of the outstanding shares of Common Stock immediately after exercise, except that upon at least 61 days’ prior notice from the holder to us, the holder may increase such percentage to any percentage not to exceed 19.99% of the number of our shares outstanding immediately after giving effect to the exercise. Purchasers of Two-Year Milestone Warrants in this offering may also elect prior to the issuance of the Two-Year Milestone Warrants to have the initial beneficial ownership limitation set at 9.99% of our outstanding shares of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Cashless Exercise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time a holder exercises its Two-Year Milestone Warrants after the initial exercise date, a registration statement registering the issuance of the shares of Common Stock underlying such warrant under the Securities Act is not then effective or the prospectus contained therein is not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Two-Year Milestone Warrant. A cashless exercise is not available for exercises for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Fundamental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fundamental transaction (as defined in the Two-Year Milestone Warrants) generally including (i) our merger or consolidation with or into another person in which the Company is not the surviving entity and in which the pre-transaction stockholders of the Company do not own at least 50% of the voting power of the surviving entity, (ii) any sale, lease, license, assignment, transfer, conveyance or other disposition of all or substantially all of our assets in one or a series of related transactions, (iii) any purchase offer, tender offer or exchange offer accepted by the holders of 50% or more of our outstanding Common Stock or 50% or more of the voting power of our common equity, (iv) any reclassification, reorganization or recapitalization of the Common Stock or any compulsory share exchange pursuant to which our Common Stock is effectively converted into or exchanged for other securities, cash or property (other than as a result of a subdivision or combination of shares of Common Stock), or (v) a stock or share purchase agreement or other business combination whereby another person or group acquires 50% or more of our outstanding Common Stock or 50% or more of the voting power of our common equity, then upon any subsequent exercise of the Two-Year Milestone Warrants, holders will be entitled to receive for each share that would have been issuable upon such exercise immediately prior to the occurrence of such fundamental transaction, at the option of the holder, the number of shares of Common Stock of the successor or acquiring corporation, or the Company if it is the surviving corporation, and any additional consideration receivable as a result of the fundamental transaction. Notwithstanding the foregoing, in the event of a fundamental transaction, the holders of the Two-Year Milestone Warrants have the right to require us or a successor entity to purchase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for cash in an amount equal to the Black Scholes Value (as defined in the Two-Year Milestone Warrant) of the unexercised portion of such warrant, exercisable at any time concurrently with, or within 30 days following, the consummation of the fundamental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in the event of a fundamental transaction which is not within our control, including a fundamental transaction not approved by our board of directors, the holders of the Two-Year Milestone Warrants will only be entitled to receive from us or our successor entity, as of the date of consummation of such fundamental transaction, the same type or form of consideration (and in the same proportion), at the Black Scholes Value of the unexercised portion of such warrants, that is being offered and paid to the holders of our Common Stock in connection with the fundamental transaction, whether that consideration is in the form of cash, stock or any combination of cash and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Fractional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Common Stock or scrip representing fractional shares will be issued upon the exercise of the Two-Year Milestone Warrants. Rather, the number of shares of Common Stock to be issued will, at our election, either be rounded up to the next whole share or we will pay a cash adjustment in respect of such final fraction in an amount equal to such fraction multiplied by the exercise price.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laws, a Two-Year Milestone Warrant may be transferred at the option of the holder upon surrender of such warrant to us together with the appropriate instruments of transfer and funds sufficient to pay any transfer taxes payable upon such transfer.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Trading Market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trading market available for the Two-Year Milestone Warrants on any securities exchange or nationally recognized trading system, and we do not expect a trading market to develop. We do not intend to list such warrants on any securities exchange or nationally recognized trading market. Without a trading market, the liquidity of such warrants will be extremely limited. The shares of Common Stock issuable upon exercise of the Two-Year Milestone Warrants are listed on the NYSE American under the symbol “AEON.”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Rights as a Stockholder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Two-Year Milestone Warrant or by virtue of a holder’s ownership of Common Stock, the holders of Two-Year Milestone Warrants do not have the rights or privileges of holders of shares of Common Stock, including any voting rights, until they exercise their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Five-Year Milestone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terms and provisions of the Five-Year Milestone Warrants offered hereby is not complete and is subject to, and qualified in its entirety by, the provisions of the Five-Year Milestone Warrants, the form of which is filed as an exhibit to the registration statement of which this prospectus forms a part. Prospective investors should carefully review the terms and provisions of the form of Five-Year Milestone Warrant for a complete description of the terms and conditions of the Five-Year Milestone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Duration and Exercise Price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Five-Year Milestone Warrants have an assumed exercise price of $0.8224 per share (representing 115% of the assumed public offering price). The Five-Year Milestone Warrants will be exercisable immediately upon issuance and will expire on the earliest of (i) 5:00 p.m. (New York City time) on the fifth anniversary of the date of issuance and (ii) 45 days following our public announcement of the initiation of a Phase 3 clinical equivalence trial of ABP-450 as a biosimilar to BOTOX</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The exercise price and the number of shares of Common Stock issuable upon exercise of the Five-Year Milestone Warrants are subject to appropriate adjustment in the event of stock dividends, stock splits, reorganizations or similar events affecting our Common Stock. Subject to the rules and regulations of the applicable trading market, we may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term of the Five-Year Milestone Warrants, subject to the prior written consent of the holders, reduce the then current exercise price to any amount and for any period of time deemed appropriate by our board of directors.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Exercise for Common Stock or Pre-Funded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Five-Year Milestone Warrant is exercisable, at the option of the holder, for either (i) shares of Common Stock at the applicable exercise price or (ii) an equivalent number of pre-funded warrants substantially in the form of the Pre-Funded Warrant described above under “— Pre-Funded Warrants,” at a per-warrant exercise price equal to the applicable exercise price minus $0.0001. If the holder elects to exercise for pre-funded warrants, no beneficial ownership limitation will apply to such exercise.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Exercisability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Five-Year Milestone Warrants will be exercisable, at the option of each holder, in whole or in part, by delivering to us a duly executed exercise notice accompanied by payment in full for the number of shares of Common Stock or pre-funded warrants purchased upon such exercise (except in the case of a cashless exercise as described below). A holder (together with its Attribution Parties) may not exercise any portion of a Five-Year Milestone Warrant for shares of Common Stock to the extent that the holder would beneficially own more than 4.99% of the outstanding shares of Common Stock immediately after exercise, except that upon at least 61 days’ prior notice from the holder to us, the holder may increase such percentage to any percentage not to exceed 19.99% of the number of our shares outstanding immediately after giving effect to the exercise. Purchasers of Five-Year Milestone Warrants in this offering may also elect prior to the issuance of the Five-Year Milestone Warrants to have the initial beneficial ownership limitation set at 9.99% of our outstanding shares of Common Stock.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Cashless Exercise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at the time a holder exercises its Five-Year Milestone Warrants after the initial exercise date, a registration statement registering the issuance of the shares of Common Stock underlying such warrant under the Securities Act is not then effective or the prospectus contained therein is not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Five-Year Milestone Warrant. A cashless exercise is not available for exercises for pre-funded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Fundamental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fundamental transaction (as defined in the Five-Year Milestone Warrants), the same rights and cash-out mechanics described above under “— Two-Year Milestone Warrants — Fundamental Transaction” will apply to the Five-Year Milestone Warrants, including the holder’s right to require us or a successor entity to purchase the Five-Year Milestone Warrants for cash in an amount equal to the Black Scholes Value (as defined in the Five-Year Milestone Warrant) of the unexercised portion of such warrant.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Fractional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shares of Common Stock or scrip representing fractional shares will be issued upon the exercise of the Five-Year Milestone Warrants. Rather, the number of shares of Common Stock to be issued will, at our election, either be rounded up to the next whole share or we will pay a cash adjustment in respect of such final fraction in an amount equal to such fraction multiplied by the exercise price.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Transferability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laws, a Five-Year Milestone Warrant may be transferred at the option of the holder upon surrender of such warrant to us together with the appropriate instruments of transfer and funds sufficient to pay any transfer taxes payable upon such transfer.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Trading Market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trading market available for the Five-Year Milestone Warrants on any securities exchange or nationally recognized trading system, and we do not expect a trading market to develop. We do not intend to list such warrants on any securities exchange or nationally recognized trading market. Without a trading market, the liquidity of such warrants will be extremely limited. The shares of Common Stock issuable upon exercise of the Five-Year Milestone Warrants are listed on the NYSE American under the symbol “AEON.”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Rights as a Stockholder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Five-Year Milestone Warrant or by virtue of a holder’s ownership of Common Stock, the holders of Five-Year Milestone Warrants do not have the rights or privileges of holders of shares of Common Stock, including any voting rights, until they exercise their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Agency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Milestone Warrants and the Pre-Funded Warrants will be issued to purchasers in this offering in certificated form. The Company has appointed Continental Stock Transfer &amp; Trust Company as warrant agent for the Milestone Warrants and the Pre-Funded Warrants. The Company and the warrant agent will enter into the Warrant Agency Agreement that will set forth the rights and duties of the warrant agent and the procedural mechanics for the issuance, exercise, transfer and cancellation of the Milestone Warrants and the Pre-Funded Warrants. The form of Warrant Agency Agreement is filed as an exhibit to the registration statement of which this prospectus forms a part. To the extent any provision of a Milestone Warrant or a Pre-Funded Warrant conflicts with the express provisions of the Warrant Agency Agreement, the provisions of the Milestone Warrant or the Pre-Funded Warrant will govern and be controlling. Prospective investors should carefully review the terms and provisions of the form of Warrant Agency Agreement for a complete description of the terms of the warrant agency arrangements.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UN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the Common Stock, Pre-Funded Warrants, Two-Year Milestone Warrants and Five-Year Milestone Warrants described in this prospectus through the Underwriters listed below. Lake Street Capital Markets, LLC is acting as the representative of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Pre-Funded Warrants, Two-Year Milestone Warrants and Five-Year Milestone Warrants listed opposite such Underwriter’s name below. The Underwriters are committed to purchase and pay for all of the shares of Common Stock, Pre-Funded Warrants, Two-Year Milestone Warrants and Five-Year Milestone Warrants offered by this prospectus if any such securities are purchased, other than those securities covered by the over-allotment option described below. </w:t>
      </w:r>
    </w:p>
    <w:tbl>
      <w:tblPr>
        <w:tblW w:w="7264" w:type="dxa"/>
        <w:jc w:val="left"/>
        <w:tblInd w:w="1393" w:type="dxa"/>
        <w:tblLayout w:type="fixed"/>
        <w:tblCellMar>
          <w:top w:w="0" w:type="dxa"/>
          <w:left w:w="0" w:type="dxa"/>
          <w:bottom w:w="43" w:type="dxa"/>
          <w:right w:w="0" w:type="dxa"/>
        </w:tblCellMar>
      </w:tblPr>
      <w:tblGrid>
        <w:gridCol w:w="3498"/>
        <w:gridCol w:w="109"/>
        <w:gridCol w:w="109"/>
        <w:gridCol w:w="1588"/>
        <w:gridCol w:w="109"/>
        <w:gridCol w:w="109"/>
        <w:gridCol w:w="1588"/>
        <w:gridCol w:w="154"/>
      </w:tblGrid>
      <w:tr>
        <w:trPr/>
        <w:tc>
          <w:tcPr>
            <w:tcW w:w="3498" w:type="dxa"/>
            <w:tcBorders>
              <w:bottom w:val="single" w:sz="2" w:space="0" w:color="000000"/>
            </w:tcBorders>
            <w:vAlign w:val="center"/>
          </w:tcPr>
          <w:p>
            <w:pPr>
              <w:pStyle w:val="TableContents"/>
              <w:bidi w:val="0"/>
              <w:spacing w:before="0" w:after="0"/>
              <w:jc w:val="left"/>
              <w:rPr/>
            </w:pPr>
            <w:r>
              <w:rPr>
                <w:spacing w:val="-3"/>
              </w:rPr>
              <w:t>Underwriter</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Shares and </w:t>
            </w:r>
            <w:r>
              <w:rPr/>
              <w:br/>
            </w:r>
            <w:r>
              <w:rPr>
                <w:spacing w:val="-3"/>
              </w:rPr>
              <w:t>Accompanying</w:t>
            </w:r>
            <w:r>
              <w:rPr/>
              <w:t xml:space="preserve"> </w:t>
              <w:br/>
            </w:r>
            <w:r>
              <w:rPr>
                <w:spacing w:val="-3"/>
              </w:rPr>
              <w:t xml:space="preserve">Milestone </w:t>
            </w:r>
            <w:r>
              <w:rPr/>
              <w:br/>
            </w:r>
            <w:r>
              <w:rPr>
                <w:spacing w:val="-3"/>
              </w:rPr>
              <w:t>Warrants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Pre-Funded </w:t>
            </w:r>
            <w:r>
              <w:rPr/>
              <w:br/>
            </w:r>
            <w:r>
              <w:rPr>
                <w:spacing w:val="-3"/>
              </w:rPr>
              <w:t>Warrants and</w:t>
            </w:r>
            <w:r>
              <w:rPr/>
              <w:t xml:space="preserve"> </w:t>
              <w:br/>
            </w:r>
            <w:r>
              <w:rPr>
                <w:spacing w:val="-3"/>
              </w:rPr>
              <w:t>Accompanying</w:t>
            </w:r>
            <w:r>
              <w:rPr/>
              <w:t xml:space="preserve"> </w:t>
              <w:br/>
            </w:r>
            <w:r>
              <w:rPr>
                <w:spacing w:val="-3"/>
              </w:rPr>
              <w:t>Milestone</w:t>
            </w:r>
            <w:r>
              <w:rPr/>
              <w:t xml:space="preserve"> </w:t>
              <w:br/>
            </w:r>
            <w:r>
              <w:rPr>
                <w:spacing w:val="-3"/>
              </w:rPr>
              <w:t>Warrants</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8" w:type="dxa"/>
            <w:tcBorders/>
            <w:shd w:fill="CCEEFF" w:val="clear"/>
            <w:tcMar>
              <w:bottom w:w="0" w:type="dxa"/>
            </w:tcMar>
            <w:vAlign w:val="center"/>
          </w:tcPr>
          <w:p>
            <w:pPr>
              <w:pStyle w:val="TableContents"/>
              <w:bidi w:val="0"/>
              <w:spacing w:before="0" w:after="0"/>
              <w:jc w:val="left"/>
              <w:rPr>
                <w:spacing w:val="4"/>
              </w:rPr>
            </w:pPr>
            <w:r>
              <w:rPr>
                <w:spacing w:val="4"/>
              </w:rPr>
              <w:t xml:space="preserve">Lake Street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8" w:type="dxa"/>
            <w:tcBorders/>
            <w:shd w:fill="CCEEFF" w:val="clear"/>
            <w:tcMar>
              <w:bottom w:w="0" w:type="dxa"/>
            </w:tcMar>
            <w:vAlign w:val="center"/>
          </w:tcPr>
          <w:p>
            <w:pPr>
              <w:pStyle w:val="TableContents"/>
              <w:bidi w:val="0"/>
              <w:spacing w:before="0" w:after="0"/>
              <w:jc w:val="center"/>
              <w:rPr/>
            </w:pPr>
            <w:r>
              <w:rPr>
                <w:spacing w:val="4"/>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8" w:type="dxa"/>
            <w:tcBorders/>
            <w:shd w:fill="CCEEFF" w:val="clear"/>
            <w:tcMar>
              <w:bottom w:w="0" w:type="dxa"/>
            </w:tcMar>
            <w:vAlign w:val="center"/>
          </w:tcPr>
          <w:p>
            <w:pPr>
              <w:pStyle w:val="TableContents"/>
              <w:bidi w:val="0"/>
              <w:spacing w:before="0" w:after="0"/>
              <w:jc w:val="center"/>
              <w:rPr/>
            </w:pPr>
            <w:r>
              <w:rPr>
                <w:spacing w:val="4"/>
              </w:rPr>
              <w:t>       </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98"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Laidlaw &amp; Company (UK) Ltd.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8" w:type="dxa"/>
            <w:tcBorders>
              <w:bottom w:val="single" w:sz="2" w:space="0" w:color="000000"/>
            </w:tcBorders>
            <w:tcMar>
              <w:bottom w:w="50"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98" w:type="dxa"/>
            <w:tcBorders/>
            <w:shd w:fill="CCEEFF" w:val="clear"/>
            <w:tcMar>
              <w:bottom w:w="0" w:type="dxa"/>
            </w:tcMar>
            <w:vAlign w:val="center"/>
          </w:tcPr>
          <w:p>
            <w:pPr>
              <w:pStyle w:val="TableContents"/>
              <w:bidi w:val="0"/>
              <w:spacing w:before="0" w:after="0"/>
              <w:ind w:left="200" w:right="0" w:hanging="0"/>
              <w:jc w:val="left"/>
              <w:rPr/>
            </w:pPr>
            <w:r>
              <w:rPr>
                <w:spacing w:val="-4"/>
              </w:rPr>
              <w:t>Total</w:t>
            </w:r>
            <w:r>
              <w:rPr>
                <w:spacing w:val="4"/>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have advised us that they propose to offer the shares of Common Stock, Pre-Funded Warrants, Two-Year Milestone Warrants and Five-Year Milestone Warrants to the public at the offering prices set forth on the cover page of this prospectus. The Underwriters propose to offer the shares of Common Stock and Pre-Funded Warrants to certain dealers at the same price less a concession of not more than $       per share of Common Stock (and per Pre-Funded Warrant). After the offering, these figures may be changed by the Underwriters.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Common Stock, Pre-Funded Warrants, Two-Year Milestone Warrants and Five-Year Milestone Warrants sold in this offering are expected to be ready for delivery on or about           , 2026, against payment in immediately available funds. The Underwriters may reject all or part of any order.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granted to the Representative a 30-day option to purchase from us up to an additional          shares of Common Stock and/or Pre-Funded Warrants to purchase up to an additional          shares of Common Stock (or any combination thereof), representing 15% of the total number of shares of Common Stock and Pre-Funded Warrants sold in this offering, at the same public offering price and less the same underwriting discount, as set forth in the table below. Any Common Stock or Pre-Funded Warrants purchased pursuant to the over-allotment option will be accompanied by additional Two-Year Milestone Warrants to purchase up to        shares of Common Stock and additional Five-Year Milestone Warrants to purchase up to          shares of Common Stock, in each case on the same 100% coverage basis as the Common Stock and Pre-Funded Warrants sold at closing. The Representative may exercise this option at any time during the 30-day period after the date of this prospectus for Common Stock only, Pre-Funded Warrants only, or any combination thereof, but only to cover over-allotments, if any. To the extent the Representative exercises the option, the Representative will become obligated, subject to certain conditions, to purchase the Common Stock and/or Pre-Funded Warrants for which it exercises the option (together with the corresponding Two-Year Milestone Warrants and Five-Year Milestone Warrants).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Underwriters will purchase the shares of our Common Stock, Pre-Funded Warrants, Two-Year Milestone Warrants and Five-Year Milestone Warrants from us at the public offering prices set forth on the cover page of this prospectus, less the underwriting discounts and commissions. The underwriting discount will be calculated as follows: (i) 7.0% of the gross proceeds of this offering up to and including $20,000,000 and (ii) 6.0% of the gross proceeds of this offering in excess of $20,000,000; provided, however, that with respect to any proceeds raised from certain specified investors, the underwriting discount will be equal to 5.0% of such gross proceeds. No separate underwriting discount or commission is being paid to the Underwriters in connection with the issuance of the Two-Year Milestone Warrants or the Five-Year Milestone Warrants.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underwriting discounts that we will pay to the Underwriters. These amounts are shown assuming both no exercise and full exercise of the over-allotment option. In addition to the underwriting discount, we have agreed to pay up to $125,000 of the fees and expenses of the Underwriters, which may include the fees and expenses of counsel to the Underwriters. The fees and expenses of the Underwriters that we have agreed to reimburse are not included in the underwriting discounts set forth in the table below. The underwriting discount and reimbursable expenses the Underwriters will receive were determined through arms’-length negotiations between us and the Underwriters. </w:t>
      </w:r>
    </w:p>
    <w:tbl>
      <w:tblPr>
        <w:tblW w:w="8812" w:type="dxa"/>
        <w:jc w:val="left"/>
        <w:tblInd w:w="1393" w:type="dxa"/>
        <w:tblLayout w:type="fixed"/>
        <w:tblCellMar>
          <w:top w:w="0" w:type="dxa"/>
          <w:left w:w="0" w:type="dxa"/>
          <w:bottom w:w="43" w:type="dxa"/>
          <w:right w:w="0" w:type="dxa"/>
        </w:tblCellMar>
      </w:tblPr>
      <w:tblGrid>
        <w:gridCol w:w="4580"/>
        <w:gridCol w:w="109"/>
        <w:gridCol w:w="109"/>
        <w:gridCol w:w="254"/>
        <w:gridCol w:w="528"/>
        <w:gridCol w:w="781"/>
        <w:gridCol w:w="257"/>
        <w:gridCol w:w="109"/>
        <w:gridCol w:w="109"/>
        <w:gridCol w:w="254"/>
        <w:gridCol w:w="528"/>
        <w:gridCol w:w="781"/>
        <w:gridCol w:w="257"/>
        <w:gridCol w:w="156"/>
      </w:tblGrid>
      <w:tr>
        <w:trPr/>
        <w:tc>
          <w:tcPr>
            <w:tcW w:w="4580" w:type="dxa"/>
            <w:tcBorders>
              <w:bottom w:val="single" w:sz="2" w:space="0" w:color="000000"/>
            </w:tcBorders>
            <w:vAlign w:val="center"/>
          </w:tcPr>
          <w:p>
            <w:pPr>
              <w:pStyle w:val="TableContents"/>
              <w:bidi w:val="0"/>
              <w:spacing w:before="0" w:after="0"/>
              <w:jc w:val="left"/>
              <w:rPr>
                <w:spacing w:val="-3"/>
              </w:rPr>
            </w:pPr>
            <w:r>
              <w:rPr>
                <w:spacing w:val="-3"/>
              </w:rPr>
              <w:t xml:space="preserve">Underwriting Discount to be paid by 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20" w:type="dxa"/>
            <w:gridSpan w:val="4"/>
            <w:tcBorders>
              <w:bottom w:val="single" w:sz="2" w:space="0" w:color="000000"/>
            </w:tcBorders>
            <w:vAlign w:val="center"/>
          </w:tcPr>
          <w:p>
            <w:pPr>
              <w:pStyle w:val="TableContents"/>
              <w:bidi w:val="0"/>
              <w:spacing w:before="0" w:after="0"/>
              <w:jc w:val="center"/>
              <w:rPr/>
            </w:pPr>
            <w:r>
              <w:rPr>
                <w:spacing w:val="-3"/>
              </w:rPr>
              <w:t>Total with no</w:t>
            </w:r>
            <w:r>
              <w:rPr/>
              <w:t xml:space="preserve"> </w:t>
              <w:br/>
            </w:r>
            <w:r>
              <w:rPr>
                <w:spacing w:val="-3"/>
              </w:rPr>
              <w:t xml:space="preserve">Over-Allotment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20" w:type="dxa"/>
            <w:gridSpan w:val="4"/>
            <w:tcBorders>
              <w:bottom w:val="single" w:sz="2" w:space="0" w:color="000000"/>
            </w:tcBorders>
            <w:vAlign w:val="center"/>
          </w:tcPr>
          <w:p>
            <w:pPr>
              <w:pStyle w:val="TableContents"/>
              <w:bidi w:val="0"/>
              <w:spacing w:before="0" w:after="0"/>
              <w:jc w:val="center"/>
              <w:rPr/>
            </w:pPr>
            <w:r>
              <w:rPr>
                <w:spacing w:val="-3"/>
              </w:rPr>
              <w:t>Total with</w:t>
            </w:r>
            <w:r>
              <w:rPr/>
              <w:t xml:space="preserve"> </w:t>
              <w:br/>
            </w:r>
            <w:r>
              <w:rPr>
                <w:spacing w:val="-3"/>
              </w:rPr>
              <w:t xml:space="preserve">Over-Allotment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80" w:type="dxa"/>
            <w:tcBorders/>
            <w:shd w:fill="CCEEFF" w:val="clear"/>
            <w:tcMar>
              <w:bottom w:w="0" w:type="dxa"/>
            </w:tcMar>
            <w:vAlign w:val="center"/>
          </w:tcPr>
          <w:p>
            <w:pPr>
              <w:pStyle w:val="TableContents"/>
              <w:bidi w:val="0"/>
              <w:spacing w:before="0" w:after="0"/>
              <w:jc w:val="left"/>
              <w:rPr/>
            </w:pPr>
            <w:r>
              <w:rPr>
                <w:spacing w:val="4"/>
              </w:rPr>
              <w:t>Per Share and Accompanying Milestone Warrants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528"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528"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580" w:type="dxa"/>
            <w:tcBorders/>
            <w:tcMar>
              <w:bottom w:w="0" w:type="dxa"/>
            </w:tcMar>
            <w:vAlign w:val="center"/>
          </w:tcPr>
          <w:p>
            <w:pPr>
              <w:pStyle w:val="TableContents"/>
              <w:bidi w:val="0"/>
              <w:spacing w:before="0" w:after="0"/>
              <w:jc w:val="left"/>
              <w:rPr/>
            </w:pPr>
            <w:r>
              <w:rPr>
                <w:spacing w:val="4"/>
              </w:rPr>
              <w:t>Per Pre-Funded Warrant and Accompanying Milestone Warrants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left"/>
              <w:rPr/>
            </w:pPr>
            <w:r>
              <w:rPr/>
              <w:t>​</w:t>
            </w:r>
          </w:p>
        </w:tc>
        <w:tc>
          <w:tcPr>
            <w:tcW w:w="528"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left"/>
              <w:rPr>
                <w:sz w:val="4"/>
                <w:szCs w:val="4"/>
              </w:rPr>
            </w:pPr>
            <w:r>
              <w:rPr>
                <w:sz w:val="4"/>
                <w:szCs w:val="4"/>
              </w:rPr>
            </w:r>
          </w:p>
        </w:tc>
        <w:tc>
          <w:tcPr>
            <w:tcW w:w="2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left"/>
              <w:rPr/>
            </w:pPr>
            <w:r>
              <w:rPr/>
              <w:t>​</w:t>
            </w:r>
          </w:p>
        </w:tc>
        <w:tc>
          <w:tcPr>
            <w:tcW w:w="528"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left"/>
              <w:rPr>
                <w:sz w:val="4"/>
                <w:szCs w:val="4"/>
              </w:rPr>
            </w:pPr>
            <w:r>
              <w:rPr>
                <w:sz w:val="4"/>
                <w:szCs w:val="4"/>
              </w:rPr>
            </w:r>
          </w:p>
        </w:tc>
        <w:tc>
          <w:tcPr>
            <w:tcW w:w="25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58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2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left"/>
              <w:rPr>
                <w:sz w:val="4"/>
                <w:szCs w:val="4"/>
              </w:rPr>
            </w:pPr>
            <w:r>
              <w:rPr>
                <w:sz w:val="4"/>
                <w:szCs w:val="4"/>
              </w:rPr>
            </w:r>
          </w:p>
        </w:tc>
        <w:tc>
          <w:tcPr>
            <w:tcW w:w="2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2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2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8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total expenses of this offering, excluding underwriting discounts, will be $      . This includes $      of the fees and expenses of the Underwriters. These expenses are payable by 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have agreed to indemnify the Underwriters against certain liabilities, including civil liabilities under the Securities Act of 1933, as amended, or to contribute to payments that the Underwriters may be required to make in respect of those liabilities.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Agent</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Milestone Warrants and the Pre-Funded Warrants will be issued in accordance with, and subject to the terms of the Warrant Agency Agreement to be entered into with Continental Stock Transfer &amp; Trust Company, as warrant agent. Continental Stock Transfer &amp; Trust Company will act as the warrant agent for the Milestone Warrants and the Pre-Funded Warrants pursuant to the Warrant Agency Agreement. The address of the warrant agent is One State Street, 30th Floor, New York, NY, 10004.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Solicitation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also entered into a warrant solicitation agreement with certain of the Underwriters pursuant to which such Underwriters have agreed to act as the Company’s agents with respect to the solicitation of exercises of the Milestone Warrants and in connection therewith, we have agreed to pay such Underwriters, in certain circumstances as set forth therein, a cash fee equal to 3.0-4.5% of the aggregate gross proceeds, in accordance with the FINRA Rule 5110(g)(10), received for all cash exercises of the Milestone Warrants solicited by such Underwriters, with such fee equaling 3.0% as it relates to the first 24.99% of the Milestone Warrants exercised, 3.75% with respect to the following 25.0-49.99% of all Milestone Warrants exercised, and 4.50% with respect to the final 50.0% of the Milestone Warrants exercised.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Sales of Similar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we and all of our executive officers and directors and certain of our stockholders will agree not to, without the prior written approval of the Representative, offer, sell, contract to sell or otherwise dispose of or hedge Common Stock or securities convertible into or exchangeable for Common Stock, subject to certain exceptions, for a period of 90 days after the date of this prospectus. The restrictions described in this paragraph will not apply to the issuance of Common Stock upon the exercise of the Warrants following the date of this prospectus.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Price Stabilization, Short Positions and Penalty Bids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this offering, the Underwriters may engage in transactions that stabilize, maintain or otherwise affect the price of our Common Stock during and after the offering. Specifically, the Underwriters may over-allot or otherwise create a short position in our Common Stock for its own account by selling more shares of Common Stock than we have sold to the Underwriters. The Representative may close out any short position by either exercising its option to purchase additional shares or purchasing shares in the open market.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Underwriters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the NYSE American or otherwise and, if commenced, may be discontinued at any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the Underwriters and selling group members may also engage in passive market making transactions in our Common Stock on the NYSE American. Passive market making consists of displaying bids on the NYSE American limited by the prices of independent market makers and effecting purchases limited by those prices in response to order flow. Rule 103 of Regulation M promulgated by the Securities and Exchange Commission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any transaction, if commenced, will not be discontinued without notice.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Affiliations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affiliates is a full service financial institution engaged in various activities, which may include securities trading, commercial and investment banking, financial advisory, investment management, investment research, principal investment, hedging, financing and brokerage activities. The Underwriters may in the future engage in investment banking and other commercial dealings in the ordinary course of business with us or our affiliates. The Underwriters may in the future receive customary fees and commissions for these transactions.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its various business activities, the Underwriters and their affiliates may make or hold a broad array of investments and actively trade debt and equity securities (or related derivative securities) and financial instruments (including bank loans) for its own account and for the accounts of its customers, and such investment and securities activities may involve securities and/or instruments of the issuer.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 Offer, Sale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this offering, the Underwriters or certain of the securities dealers may distribute prospectuses by electronic means, such as e-mail. In addition, the Underwriters may facilitate Internet distribution for this offering to certain of its Internet subscription customers. The Underwriters may allocate a limited number of shares for sale to its online brokerage customers. An electronic prospectus is available on the Internet websites maintained by the Underwriters. Other than the prospectus in electronic format, the information on the website of the Underwriters is not part of this prospectus.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NYSE American under the symbol “AEON.” We do not intend to list the Warrants on the NYSE American or any other nationally recognized securities exchange or any other nationally recognized trading system.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Continental Stock Transfer &amp; Trust Company. The transfer agent’s address is One State Street, 30th Floor, New York, NY, 10004.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val="false"/>
          <w:i w:val="false"/>
          <w:caps w:val="false"/>
          <w:smallCaps w:val="false"/>
          <w:color w:val="000000"/>
          <w:spacing w:val="4"/>
          <w:sz w:val="20"/>
        </w:rPr>
        <w:t xml:space="preserve">   The securities may be sold in Canada only to purchasers purchasing, or deemed to be purchasing, as principal that are accredited investors, as defined in National Instrument 45-106 </w:t>
      </w:r>
      <w:r>
        <w:rPr>
          <w:rFonts w:ascii="Times New Roman;Times;serif" w:hAnsi="Times New Roman;Times;serif"/>
          <w:b w:val="false"/>
          <w:i/>
          <w:caps w:val="false"/>
          <w:smallCaps w:val="false"/>
          <w:color w:val="000000"/>
          <w:spacing w:val="4"/>
          <w:sz w:val="20"/>
        </w:rPr>
        <w:t>Prospectus Exemptions</w:t>
      </w:r>
      <w:r>
        <w:rPr>
          <w:rFonts w:ascii="Times New Roman;Times;serif" w:hAnsi="Times New Roman;Times;serif"/>
          <w:b w:val="false"/>
          <w:i w:val="false"/>
          <w:caps w:val="false"/>
          <w:smallCaps w:val="false"/>
          <w:color w:val="000000"/>
          <w:spacing w:val="4"/>
          <w:sz w:val="20"/>
        </w:rPr>
        <w:t xml:space="preserve"> or subsection 73.3(1) of the Securities Act (Ontario), and are permitted clients, as defined in National Instrument 31-103 </w:t>
      </w:r>
      <w:r>
        <w:rPr>
          <w:rFonts w:ascii="Times New Roman;Times;serif" w:hAnsi="Times New Roman;Times;serif"/>
          <w:b w:val="false"/>
          <w:i/>
          <w:caps w:val="false"/>
          <w:smallCaps w:val="false"/>
          <w:color w:val="000000"/>
          <w:spacing w:val="4"/>
          <w:sz w:val="20"/>
        </w:rPr>
        <w:t>Registration Requirements, Exemptions and Ongoing Registrant Obligations</w:t>
      </w:r>
      <w:r>
        <w:rPr>
          <w:rFonts w:ascii="Times New Roman;Times;serif" w:hAnsi="Times New Roman;Times;serif"/>
          <w:b w:val="false"/>
          <w:i w:val="false"/>
          <w:caps w:val="false"/>
          <w:smallCaps w:val="false"/>
          <w:color w:val="000000"/>
          <w:spacing w:val="4"/>
          <w:sz w:val="20"/>
        </w:rPr>
        <w:t xml:space="preserve">. Any resale of the securities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w:t>
      </w:r>
      <w:r>
        <w:rPr>
          <w:rFonts w:ascii="Times New Roman;Times;serif" w:hAnsi="Times New Roman;Times;serif"/>
          <w:b w:val="false"/>
          <w:i/>
          <w:caps w:val="false"/>
          <w:smallCaps w:val="false"/>
          <w:color w:val="000000"/>
          <w:spacing w:val="4"/>
          <w:sz w:val="20"/>
        </w:rPr>
        <w:t>Underwriting Conflicts</w:t>
      </w:r>
      <w:r>
        <w:rPr>
          <w:rFonts w:ascii="Times New Roman;Times;serif" w:hAnsi="Times New Roman;Times;serif"/>
          <w:b w:val="false"/>
          <w:i w:val="false"/>
          <w:caps w:val="false"/>
          <w:smallCaps w:val="false"/>
          <w:color w:val="000000"/>
          <w:spacing w:val="4"/>
          <w:sz w:val="20"/>
        </w:rPr>
        <w:t xml:space="preserve"> (NI 33-105), the Underwriters are not required to comply with the disclosure requirements of NI 33-105 regarding underwriter conflicts of interest in connection with this offering.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European Economic Area.   </w:t>
      </w:r>
      <w:r>
        <w:rPr>
          <w:rFonts w:ascii="Times New Roman;Times;serif" w:hAnsi="Times New Roman;Times;serif"/>
          <w:b w:val="false"/>
          <w:i w:val="false"/>
          <w:caps w:val="false"/>
          <w:smallCaps w:val="false"/>
          <w:color w:val="000000"/>
          <w:spacing w:val="4"/>
          <w:sz w:val="20"/>
        </w:rPr>
        <w:t xml:space="preserve">In relation to each Member State of the European Economic Area which has implemented the Prospectus Directive (each, a “Relevant Member State”) an offer to the public of any shares of our Common Stock or Warrants may not be made in that Relevant Member State, except that an offer to the public in that Relevant Member State of any shares of our Common Stock or Warrants may be made at any time under the following exemptions under the Prospectus Directive, if they have been implemented in that Relevant Member State: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in the Prospectus Directive; </w:t>
      </w:r>
      <w:r>
        <mc:AlternateContent>
          <mc:Choice Requires="wps">
            <w:drawing>
              <wp:anchor behindDoc="0" distT="7874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 </w:t>
      </w:r>
      <w:r>
        <mc:AlternateContent>
          <mc:Choice Requires="wps">
            <w:drawing>
              <wp:anchor behindDoc="0" distT="787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Article 3(2) of the Prospectus Directive, provided that no such offer of shares of our Common Stock or Warrants shall result in a requirement for the publication by us or any underwriter of a prospectus pursuant to Article 3 of the Prospectus Directive.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to the public” in relation to any shares of our Common Stock or Warrants in any Relevant Member State means the communication in any form and by any means of sufficient information on the terms of the offer and any shares of our Common Stock or Warrants to be offered so as to enable an investor to decide to purchase any shares of our Common Stock or Warrants,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val="false"/>
          <w:i w:val="false"/>
          <w:caps w:val="false"/>
          <w:smallCaps w:val="false"/>
          <w:color w:val="000000"/>
          <w:spacing w:val="4"/>
          <w:sz w:val="20"/>
        </w:rPr>
        <w:t xml:space="preserve">   The Underwriters have represented and agreed that: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they have only communicated or caused to be communicated and will only communicate or cause to be communicated an invitation or inducement to engage in investment activity (within the meaning of Section 21 of the Financial Services and Markets Act 2000 (the “FSMA”)) received in connection with the issue or sale of the shares of our Common Stock or Warrants in circumstances in which Section 21(1) of the FSMA does not apply to us; and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they have complied and will comply with all applicable provisions of the FSMA with respect to anything done in relation to the shares of our Common Stock or Warrants in, from or otherwise involving the United Kingdom. </w:t>
      </w:r>
      <w:r>
        <mc:AlternateContent>
          <mc:Choice Requires="wps">
            <w:drawing>
              <wp:anchor behindDoc="0" distT="7874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val="false"/>
          <w:i w:val="false"/>
          <w:caps w:val="false"/>
          <w:smallCaps w:val="false"/>
          <w:color w:val="000000"/>
          <w:spacing w:val="4"/>
          <w:sz w:val="20"/>
        </w:rPr>
        <w:t xml:space="preserve">   The shares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document nor any other offering or marketing material relating to the offering, or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Australia.</w:t>
      </w:r>
      <w:r>
        <w:rPr>
          <w:rFonts w:ascii="Times New Roman;Times;serif" w:hAnsi="Times New Roman;Times;serif"/>
          <w:b w:val="false"/>
          <w:i w:val="false"/>
          <w:caps w:val="false"/>
          <w:smallCaps w:val="false"/>
          <w:color w:val="000000"/>
          <w:spacing w:val="4"/>
          <w:sz w:val="20"/>
        </w:rPr>
        <w:t xml:space="preserve">   No placement document, prospectus, product disclosure statement or other disclosure document has been lodged with the Australian Securities and Investments Commission (“ASIC”), in relation to the offering.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LEMA"/>
      <w:bookmarkEnd w:id="15"/>
      <w:r>
        <w:rPr>
          <w:rFonts w:ascii="calibri;arial;sans-serif" w:hAnsi="calibri;arial;sans-serif"/>
          <w:b w:val="false"/>
          <w:i w:val="false"/>
          <w:caps w:val="false"/>
          <w:smallCaps w:val="false"/>
          <w:color w:val="000000"/>
          <w:sz w:val="16"/>
        </w:rPr>
        <w:t>​</w:t>
      </w:r>
      <w:bookmarkStart w:id="16" w:name="tEXP"/>
      <w:bookmarkEnd w:id="16"/>
      <w:r>
        <w:rPr>
          <w:rFonts w:ascii="calibri;arial;sans-serif" w:hAnsi="calibri;arial;sans-serif"/>
          <w:b w:val="false"/>
          <w:i w:val="false"/>
          <w:caps w:val="false"/>
          <w:smallCaps w:val="false"/>
          <w:color w:val="000000"/>
          <w:sz w:val="16"/>
        </w:rPr>
        <w:t>​</w:t>
      </w:r>
      <w:bookmarkStart w:id="17" w:name="tWYCF"/>
      <w:bookmarkEnd w:id="17"/>
      <w:r>
        <w:rPr>
          <w:rFonts w:ascii="calibri;arial;sans-serif" w:hAnsi="calibri;arial;sans-serif"/>
          <w:b w:val="false"/>
          <w:i w:val="false"/>
          <w:caps w:val="false"/>
          <w:smallCaps w:val="false"/>
          <w:color w:val="000000"/>
          <w:sz w:val="16"/>
        </w:rPr>
        <w:t>​</w:t>
      </w:r>
      <w:bookmarkStart w:id="18" w:name="tIBR"/>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any securities offered by this prospectus will be passed upon for us by Sullivan &amp; Worcester LLP, New York, New York. Faegre Drinker Biddle &amp; Reath LLP is acting as counsel for the Underwriters in connection with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AEON Biopharma, Inc. as of December 31, 2025 and 2024 and for each of the years in the two-year period ended December 31, 2025 have been incorporated by reference herein and in the registration statement in reliance upon the report of KPMG LLP, independent registered public accounting firm, incorporated by reference herein, and upon the authority of said firm as experts in accounting and auditing. The audit report covering the December 31, 2025 consolidated financial statements contains an explanatory paragraph that states that the Company’s recurring losses from operations, net capital deficiency and negative cash flows from operations raise substantial doubt about the entity’s ability to continue as a going concern. The consolidated financial statements do not include any adjustments that might result from the outcome of that uncertainty.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S-1 under the Securities Act with respect to the shares of Common Stock and Warrants offered hereby. This prospectus, which constitutes a part of the registration statement, does not contain all of the information set forth in the registration statement or the exhibits and schedules filed therewith. For further information about us and the shares of Common Stock and Warrants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We file periodic reports, proxy statements, and other information with the SEC pursuant to the Exchange Act. The SEC maintains an Internet website that contains reports, proxy statements and other information about registrants, like us, that file electronically with the SEC. The address of that site is www.sec.gov.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permits us to “incorporate by reference” the information contained in documents we have filed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We have filed with the SEC, and incorporate by reference in this prospectus: </w:t>
      </w:r>
    </w:p>
    <w:p>
      <w:pPr>
        <w:pStyle w:val="TextBody"/>
        <w:bidi w:val="0"/>
        <w:spacing w:lineRule="atLeast" w:line="240" w:before="118"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5">
        <w:r>
          <w:rPr>
            <w:rStyle w:val="InternetLink"/>
          </w:rPr>
          <w:t>Annual Report on Form 10-K for the year ended December 31, 2025 (filed with the SEC on March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w:t>
      </w:r>
      <w:hyperlink r:id="rId6">
        <w:r>
          <w:rPr>
            <w:rStyle w:val="InternetLink"/>
          </w:rPr>
          <w:t>Quarterly Report on Form 10-Q for the quarter ended March 31, 2026 (filed with the SEC on May 14,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7">
        <w:r>
          <w:rPr>
            <w:rStyle w:val="InternetLink"/>
          </w:rPr>
          <w:t>January 21,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March 9,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April 3,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May 14, 2026</w:t>
        </w:r>
      </w:hyperlink>
      <w:hyperlink r:id="rId11">
        <w:r>
          <w:rPr>
            <w:rStyle w:val="InternetLink"/>
          </w:rPr>
          <w:t xml:space="preserve"> (Two Filings)</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June 17,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from our definitive proxy statement on Schedule 14A filed with the SEC on </w:t>
      </w:r>
      <w:hyperlink r:id="rId13">
        <w:r>
          <w:rPr>
            <w:rStyle w:val="InternetLink"/>
          </w:rPr>
          <w:t>April 29,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14">
        <w:r>
          <w:rPr>
            <w:rStyle w:val="InternetLink"/>
          </w:rPr>
          <w:t>Exhibit 4.5</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2023, filed with the SEC on August 12, 2024; and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description of our Common Stock contained in our </w:t>
      </w:r>
      <w:hyperlink r:id="rId15">
        <w:r>
          <w:rPr>
            <w:rStyle w:val="InternetLink"/>
          </w:rPr>
          <w:t>Registration Statement on Form 8-A (File No. 001-40021), filed with the SEC on February 8, 2021</w:t>
        </w:r>
      </w:hyperlink>
      <w:r>
        <w:rPr>
          <w:rFonts w:ascii="Times New Roman;Times;serif" w:hAnsi="Times New Roman;Times;serif"/>
          <w:b w:val="false"/>
          <w:i w:val="false"/>
          <w:caps w:val="false"/>
          <w:smallCaps w:val="false"/>
          <w:color w:val="000000"/>
          <w:spacing w:val="4"/>
          <w:sz w:val="20"/>
        </w:rPr>
        <w:t xml:space="preserve">, as amended by our </w:t>
      </w:r>
      <w:hyperlink r:id="rId16">
        <w:r>
          <w:rPr>
            <w:rStyle w:val="InternetLink"/>
          </w:rPr>
          <w:t>Registration Statement on Form 8-A (File No. 001-40021), filed with the SEC on July 21, 2023</w:t>
        </w:r>
      </w:hyperlink>
      <w:r>
        <w:rPr>
          <w:rFonts w:ascii="Times New Roman;Times;serif" w:hAnsi="Times New Roman;Times;serif"/>
          <w:b w:val="false"/>
          <w:i w:val="false"/>
          <w:caps w:val="false"/>
          <w:smallCaps w:val="false"/>
          <w:color w:val="000000"/>
          <w:spacing w:val="4"/>
          <w:sz w:val="20"/>
        </w:rPr>
        <w:t xml:space="preserve">, and any amendment or report filed with the Commission for the purpose of updating such description.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however, incorporating, in each case, any documents or information that we are deemed to furnish and not file in accordance with SEC rules.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additional documents we may file with the SEC under Sections 13(a), 13(c), 14 or 15(d) of the Exchange Act: (i) on or after the date of the initial filing of the registration statement of which this prospectus is a part and prior to effectiveness of the registration statement, and (ii) on or after the date of this prospectus but before the completion or termination of this offering (excluding any information not deemed “filed” with the SEC). Any statement contained in a previously filed document is deemed to be modified or superseded for purposes of this prospectus to the extent that a statement contained in this prospectus or in a subsequently filed document incorporated by reference herein modifies or supersedes the statement, and any statement contained in this prospectus is deemed to be modified or superseded for purposes of this prospectus to the extent that a statement contained in a subsequently filed document incorporated by reference herein modifies or supersedes the statement.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oral or written requests by one of the following methods: Attention: Investor Relations, AEON Biopharma, Inc., 5 Park Plaza, Suite 1750, Irvine, California 92614, (949) 354-6499. You may also access these documents, free of charge, on the SEC’s website at www.sec.gov or on the “Investors” page of our website at https://www.aeonbiopharma.com. The information found on our website, or that may be accessed by links on our website, is not part of this prospectus. We have included our website address solely as an inactive textual reference. Investors should not rely on any such information in deciding whether to purchase our Common Stock.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88" w:after="283"/>
        <w:jc w:val="center"/>
        <w:rPr>
          <w:caps w:val="false"/>
          <w:smallCaps w:val="false"/>
          <w:color w:val="000000"/>
        </w:rPr>
      </w:pPr>
      <w:r>
        <w:rPr>
          <w:caps w:val="false"/>
          <w:smallCaps w:val="false"/>
          <w:color w:val="000000"/>
        </w:rPr>
        <w:drawing>
          <wp:inline distT="0" distB="0" distL="0" distR="0">
            <wp:extent cx="3200400" cy="1333500"/>
            <wp:effectExtent l="0" t="0" r="0" b="0"/>
            <wp:docPr id="7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 descr=""/>
                    <pic:cNvPicPr>
                      <a:picLocks noChangeAspect="1" noChangeArrowheads="1"/>
                    </pic:cNvPicPr>
                  </pic:nvPicPr>
                  <pic:blipFill>
                    <a:blip r:embed="rId17"/>
                    <a:stretch>
                      <a:fillRect/>
                    </a:stretch>
                  </pic:blipFill>
                  <pic:spPr bwMode="auto">
                    <a:xfrm>
                      <a:off x="0" y="0"/>
                      <a:ext cx="3200400" cy="13335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949"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17,479,373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Pre-Funded Warrants to purchase 17,479,373 Shares of 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Two-Year Milestone Warrants to purchase (i) 17,479,373 Shares of Common Stock or (ii) Pre-Funded Warrants to purchase 17,479,373 Shares of Common Stock in lieu thereof Five-Year Milestone Warrants to purchase (i) 17,479,373 Shares of Common Stock or (ii) Pre-Funded Warrants to purchase 17,479,373 Shares of Common Stock in lieu thereof</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52,438,119 Shares of Common Stock Underlying the Pre-Funded Warrants, the Two-Year Milestone Warrants (or Underlying the Pre-Funded Warrants Issued Upon Exercise Thereof) and the Five-Year Milestone Warrants (or Underlying the Pre-Funded Warrants Issued Upon Exercise Thereof)</w:t>
      </w:r>
      <w:r>
        <w:rPr>
          <w:rFonts w:ascii="Times New Roman;Times;serif" w:hAnsi="Times New Roman;Times;serif"/>
          <w:b/>
          <w:i w:val="false"/>
          <w:caps w:val="false"/>
          <w:smallCaps w:val="false"/>
          <w:color w:val="000000"/>
          <w:spacing w:val="6"/>
          <w:sz w:val="28"/>
        </w:rPr>
        <w:t xml:space="preserve"> </w:t>
      </w:r>
    </w:p>
    <w:p>
      <w:pPr>
        <w:pStyle w:val="TextBody"/>
        <w:bidi w:val="0"/>
        <w:spacing w:before="70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9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PRELIMINARY PROSPECTUS</w:t>
      </w:r>
      <w:r>
        <w:rPr>
          <w:rFonts w:ascii="Times New Roman;Times;serif" w:hAnsi="Times New Roman;Times;serif"/>
          <w:b/>
          <w:i w:val="false"/>
          <w:caps w:val="false"/>
          <w:smallCaps w:val="false"/>
          <w:color w:val="000000"/>
          <w:spacing w:val="5"/>
          <w:sz w:val="24"/>
        </w:rPr>
        <w:t xml:space="preserve"> </w:t>
      </w:r>
    </w:p>
    <w:p>
      <w:pPr>
        <w:pStyle w:val="TextBody"/>
        <w:bidi w:val="0"/>
        <w:spacing w:before="25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719"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Sole Book-Runner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Lake Street</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8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Lead Manager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Laidlaw &amp; Company (UK) Ltd.</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70" w:after="283"/>
        <w:jc w:val="center"/>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z w:val="20"/>
        </w:rPr>
        <w:t xml:space="preserve"> </w:t>
      </w:r>
    </w:p>
    <w:p>
      <w:pPr>
        <w:pStyle w:val="TextBody"/>
        <w:bidi w:val="0"/>
        <w:spacing w:before="12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13.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estimated costs and expenses in connection with the offering described in this registration statement. All expenses incurred with respect to the sale and distribution of the securities being registered hereby (other than underwriting fees) will be borne by us. All amounts are estimates except the SEC registration fee and the Financial Industry Regulatory Authority (“FINRA”) filing fee. </w:t>
      </w:r>
    </w:p>
    <w:tbl>
      <w:tblPr>
        <w:tblW w:w="6669" w:type="dxa"/>
        <w:jc w:val="left"/>
        <w:tblInd w:w="1393" w:type="dxa"/>
        <w:tblLayout w:type="fixed"/>
        <w:tblCellMar>
          <w:top w:w="0" w:type="dxa"/>
          <w:left w:w="0" w:type="dxa"/>
          <w:bottom w:w="28" w:type="dxa"/>
          <w:right w:w="0" w:type="dxa"/>
        </w:tblCellMar>
      </w:tblPr>
      <w:tblGrid>
        <w:gridCol w:w="4667"/>
        <w:gridCol w:w="109"/>
        <w:gridCol w:w="109"/>
        <w:gridCol w:w="109"/>
        <w:gridCol w:w="226"/>
        <w:gridCol w:w="1186"/>
        <w:gridCol w:w="109"/>
        <w:gridCol w:w="154"/>
      </w:tblGrid>
      <w:tr>
        <w:trPr/>
        <w:tc>
          <w:tcPr>
            <w:tcW w:w="466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 xml:space="preserve">6,253.35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7" w:type="dxa"/>
            <w:tcBorders/>
            <w:tcMar>
              <w:bottom w:w="0" w:type="dxa"/>
            </w:tcMar>
            <w:vAlign w:val="center"/>
          </w:tcPr>
          <w:p>
            <w:pPr>
              <w:pStyle w:val="TableContents"/>
              <w:bidi w:val="0"/>
              <w:spacing w:before="0" w:after="0"/>
              <w:ind w:left="200" w:right="0" w:hanging="0"/>
              <w:jc w:val="left"/>
              <w:rPr>
                <w:spacing w:val="4"/>
              </w:rPr>
            </w:pPr>
            <w:r>
              <w:rPr>
                <w:spacing w:val="4"/>
              </w:rPr>
              <w:t xml:space="preserve">FINRA filing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 xml:space="preserve">3,087.50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Accountant’s commissions,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7" w:type="dxa"/>
            <w:tcBorders/>
            <w:tcMar>
              <w:bottom w:w="0" w:type="dxa"/>
            </w:tcMar>
            <w:vAlign w:val="center"/>
          </w:tcPr>
          <w:p>
            <w:pPr>
              <w:pStyle w:val="TableContents"/>
              <w:bidi w:val="0"/>
              <w:spacing w:before="0" w:after="0"/>
              <w:ind w:left="200" w:right="0" w:hanging="0"/>
              <w:jc w:val="left"/>
              <w:rPr>
                <w:spacing w:val="4"/>
              </w:rPr>
            </w:pPr>
            <w:r>
              <w:rPr>
                <w:spacing w:val="4"/>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325,000.00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6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Transfer agent’s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67" w:type="dxa"/>
            <w:tcBorders/>
            <w:tcMar>
              <w:bottom w:w="0" w:type="dxa"/>
            </w:tcMar>
            <w:vAlign w:val="center"/>
          </w:tcPr>
          <w:p>
            <w:pPr>
              <w:pStyle w:val="TableContents"/>
              <w:bidi w:val="0"/>
              <w:spacing w:before="0" w:after="0"/>
              <w:ind w:left="200" w:right="0" w:hanging="0"/>
              <w:jc w:val="left"/>
              <w:rPr>
                <w:spacing w:val="4"/>
              </w:rPr>
            </w:pPr>
            <w:r>
              <w:rPr>
                <w:spacing w:val="4"/>
              </w:rPr>
              <w:t xml:space="preserve">Printing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67"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Miscellaneous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667" w:type="dxa"/>
            <w:tcBorders/>
            <w:tcMar>
              <w:bottom w:w="0" w:type="dxa"/>
            </w:tcMar>
            <w:vAlign w:val="center"/>
          </w:tcPr>
          <w:p>
            <w:pPr>
              <w:pStyle w:val="TableContents"/>
              <w:bidi w:val="0"/>
              <w:spacing w:before="0" w:after="0"/>
              <w:ind w:left="400" w:right="0" w:hanging="0"/>
              <w:jc w:val="left"/>
              <w:rPr>
                <w:spacing w:val="4"/>
              </w:rPr>
            </w:pPr>
            <w:r>
              <w:rPr>
                <w:spacing w:val="4"/>
              </w:rPr>
              <w:t xml:space="preserve">Total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549,340.85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all of our directors, officers, employees and agents shall be entitled to be indemnified by us to the fullest extent permitted by the DGCL.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of whether such indemnification by it is against public policy as expressed in the Securities Act and will be governed by the final adjudication of such issue.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bylaws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DGCL is amended to authorize corporate action further eliminating or limiting the liability of directors, then, in accordance with our bylaws, the liability of our directors to us or our stockholders will be eliminated or limited to the fullest extent authorized by the DGCL, as so amended. Any repeal or amendment of provisions of our bylaws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a person eligible for indemnification pursuant to our bylaws will be indemnified by us in connection with a proceeding initiated by such person only if such proceeding was authorized by our board of directors, except for proceedings to enforce rights to indemnification.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to indemnification which is conferred by our bylaws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bylaws or otherwise.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to indemnification and advancement of expenses will not be deemed exclusive of any other rights which any person covered by our bylaws may have or hereafter acquire under law, our certificate of incorporation, our bylaws, an agreement, vote of stockholders or disinterested directors, or otherwise.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bylaws will also permit us, to the extent and in the manner authorized or permitted by law, to indemnify and to advance expenses to persons other than those specifically covered by our bylaws.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include the provisions relating to advancement of expenses and indemnification rights consistent with those which are set forth in our bylaws.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general liability insurance policy that covers certain liabilities of directors and officers of our corporation arising out of claims based on acts or omissions in their capacities as directors or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Recent Sales of Unregistered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information regarding shares of capital stock issued by us within the past three years. Also included is the consideration received by us for such shares and information relating to the section of the Securities Act, or rule of the SEC, under which exemption from registration was claimed.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Exchange Transaction with Daewoong (January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21, 2026, pursuant to an exchange agreement (the “Exchange Agreement”) with Daewoong Pharmaceutical Co., Ltd. (“Daewoong”), and following approval by our stockholders, we completed the exchange (the “Exchange”) of senior secured convertible notes previously issued to Daewoong in an aggregate principal amount of up to $15.0 million (the “Old Notes”). In full satisfaction of our obligations under the Old Notes, we issued to Daewoong: (i) an aggregate of 11,918,380 shares of Common Stock and 11,236,631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pre-funded warrants to purchase shares of Common Stock (collectively, the “Exchange Shares”), (ii) a new senior secured convertible note in the principal amount of $1.5 million (the “New Note”), and (iii) warrants to purchase up to 8,000,000 shares of Common Stock at an exercise price of $1.09392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Shares, New Note and warrants were issued in reliance on the exemption from registration provided by Section 4(a)(2) of the Securities Act. Daewoong represented that it was acquiring the securities for investment only and not with a view to, or for sale in connection with, any distribution thereof.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Private Placement (November 2025 – January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12, 2025, we entered into a securities purchase agreement (the “Securities Purchase Agreement”) with certain accredited investors (the “Investors”) for a private placement (the “Private Placement”). Pursuant to the Securities Purchase Agreement, we agreed to issue and sell to the Investors (i) shares of our Common Stock, (ii) pre-funded warrants to purchase shares of Common Stock (the “Pre-Funded Warrants”), (iii) warrants to purchase shares of Common Stock (the “November 2025 Warrants”), and (iv) true-up warrants to purchase shares of Common Stock (the “True-Up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closing of the Private Placement occurred on November 18, 2025, at which time we issued 1,964,905 shares (or Pre-Funded Warrants in lieu thereof) for aggregate gross proceeds based on a purchase price of $0.9116 per share (or $0.9115 per Pre-Funded Warrant). Following stockholder approval and the consummation of the Exchange, the second closing of the Private Placement occurred in January 2026, at which time we issued 4,616,924 additional shares (or Pre-Funded Warrants in lieu thereof), 6,581,829 November 2025 Warrants, and up to 6,581,829 True-Up Warrants.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securities issued in the Private Placement were offered and sold in reliance on the exemption from registration provided by Section 4(a)(2) of the Securities Act, based on representations by the Investors that they were accredited investors acquiring the securities for investment and not with a view to distribution.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Senior Secured Convertible Note Financing with Daewoong (March 2024)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2024, we entered into a subscription agreement with Daewoong pursuant to which we issued senior secured convertible notes in an aggregate principal amount of up to $15.0 million (the “Convertible Notes”). The Convertible Notes are convertible into shares of our Common Stock subject to certain conditions and limitations and are secured by a first-priority security interest in substantially all of our assets.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Convertible Notes were issued in reliance on the exemption from registration provided by Section 4(a)(2) of the Securities Act, based in part on representations by Daewoong that it was acquiring the securities for investment and not with a view to distribution. Any shares of Common Stock issued upon conversion of the Convertible Notes would likewise be issued pursuant to an exemption from registration under the Securities Act. As described above under “— </w:t>
      </w:r>
      <w:r>
        <w:rPr>
          <w:rFonts w:ascii="Times New Roman;Times;serif" w:hAnsi="Times New Roman;Times;serif"/>
          <w:b w:val="false"/>
          <w:i/>
          <w:caps w:val="false"/>
          <w:smallCaps w:val="false"/>
          <w:color w:val="000000"/>
          <w:spacing w:val="4"/>
          <w:sz w:val="20"/>
        </w:rPr>
        <w:t>Exchange Transaction with Daewoong (January 2026)</w:t>
      </w:r>
      <w:r>
        <w:rPr>
          <w:rFonts w:ascii="Times New Roman;Times;serif" w:hAnsi="Times New Roman;Times;serif"/>
          <w:b w:val="false"/>
          <w:i w:val="false"/>
          <w:caps w:val="false"/>
          <w:smallCaps w:val="false"/>
          <w:color w:val="000000"/>
          <w:spacing w:val="4"/>
          <w:sz w:val="20"/>
        </w:rPr>
        <w:t xml:space="preserve">” in January 2026 the outstanding Convertible Notes were exchanged and converted in full, and no Convertible Notes remain outstanding as of the date of this prospectus.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Business Combination and PIPE Transactions (July 2023)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consummation of our business combination on July 21, 2023, we issued shares of our Common Stock in multiple private transactions, including (i) the issuance of shares upon conversion of interim notes held by certain investors, (ii) the issuance of shares pursuant to forward purchase agreements and PIPE subscription agreements, and (iii) the issuance of shares to certain investors in connection with committed financing arrangements.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such securities were issued in transactions exempt from registration under the Securities Act pursuant to Section 4(a)(2) and/or Regulation D, based on representations by the recipients that they were acquiring the securities for investment purposes and not with a view to distribution.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 and Financial Statement Schedules.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Exhibits.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exhibits to the registration statement are listed in the Exhibit Index to this registration statement and are incorporated herein by reference.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Financial Statement Schedules.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Schedules not listed above have been omitted because the information required to be set forth therein is not applicable or is shown in the financial statements or notes thereto.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r>
        <mc:AlternateContent>
          <mc:Choice Requires="wps">
            <w:drawing>
              <wp:anchor behindDoc="0" distT="9779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9906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9906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9906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 </w:t>
      </w:r>
      <w:r>
        <mc:AlternateContent>
          <mc:Choice Requires="wps">
            <w:drawing>
              <wp:anchor behindDoc="0" distT="9906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w:t>
      </w:r>
      <w:r>
        <mc:AlternateContent>
          <mc:Choice Requires="wps">
            <w:drawing>
              <wp:anchor behindDoc="0" distT="9906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0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508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508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an undersigned registrant; and </w:t>
      </w:r>
      <w:r>
        <mc:AlternateContent>
          <mc:Choice Requires="wps">
            <w:drawing>
              <wp:anchor behindDoc="0" distT="101600" distB="0" distL="508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508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77"/>
        <w:gridCol w:w="109"/>
        <w:gridCol w:w="109"/>
        <w:gridCol w:w="743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7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pPr>
            <w:r>
              <w:rPr>
                <w:spacing w:val="4"/>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left"/>
              <w:rPr/>
            </w:pPr>
            <w:hyperlink w:anchor="tm2615250d4_ex1-1.htm">
              <w:r>
                <w:rPr>
                  <w:rStyle w:val="InternetLink"/>
                  <w:spacing w:val="4"/>
                </w:rPr>
                <w:t>Form of Underwriting Agreement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18">
              <w:r>
                <w:rPr>
                  <w:rStyle w:val="InternetLink"/>
                </w:rPr>
                <w:t>Business Combination Agreement, dated as of December 12, 2022, by and among Priveterra Acquisition Corp., Priveterra Merger Sub, Inc. and AEON Biopharma, Inc. (incorporated by reference to Exhibit 2.1 to the Form 8-K filed by Priveterra Acquisition Corp. with the SEC on December 13,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2.1(a)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19">
              <w:r>
                <w:rPr>
                  <w:rStyle w:val="InternetLink"/>
                </w:rPr>
                <w:t>Amendment No. 1 to Business Combination Agreement, dated as of April 27, 2023, by and among Priveterra Acquisition Corp., AEON Biopharma, Inc. and Priveterra Merger Sub, Inc. (incorporated by reference to Exhibit 2.1 to the Form 8-K filed by Priveterra Acquisition Corp. with the SEC on May 1,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0">
              <w:r>
                <w:rPr>
                  <w:rStyle w:val="InternetLink"/>
                </w:rPr>
                <w:t>Third Amended and Restated Certificate of Incorporation of AEON Biopharma, Inc. (incorporated by reference to Exhibit 3.1 to the Form 8-K filed by the Company with the SEC on July 27,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3.1.1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1">
              <w:r>
                <w:rPr>
                  <w:rStyle w:val="InternetLink"/>
                </w:rPr>
                <w:t>Certificate of Amendment of Third Amended and Restated Certificate of Incorporation of AEON Biopharma, Inc. (incorporated by reference to Exhibit 3.1 to the Form 8-K filed by the Company with the SEC on February 24,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2">
              <w:r>
                <w:rPr>
                  <w:rStyle w:val="InternetLink"/>
                  <w:spacing w:val="4"/>
                </w:rPr>
                <w:t>Amended and Restated Bylaws of AEON Biopharma, Inc. (incorporated by reference to Exhibit 3.2 to the Form 8-K filed by the Company with the SEC on July 27,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3.2.1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3">
              <w:r>
                <w:rPr>
                  <w:rStyle w:val="InternetLink"/>
                  <w:spacing w:val="4"/>
                </w:rPr>
                <w:t>Amendment to Amended and Restated Bylaws of AEON Biopharma, Inc. (incorporated by reference to Exhibit 3.1 to Form 8-K filed by the Company with the SEC on December 20,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4">
              <w:r>
                <w:rPr>
                  <w:rStyle w:val="InternetLink"/>
                </w:rPr>
                <w:t>Warrant Agreement between Priveterra Acquisition Corp. and Continental Stock Transfer &amp; Trust Company, dated as of February 8, 2021 (incorporated by reference to Exhibit 4.1 to the Form 10-K filed by Priveterra Acquisition Corp. with the SEC on March 28,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5">
              <w:r>
                <w:rPr>
                  <w:rStyle w:val="InternetLink"/>
                  <w:spacing w:val="4"/>
                </w:rPr>
                <w:t>Specimen Warrant Certificate (incorporated by reference to Exhibit 4.2 to the Form 10-K filed by Priveterra Acquisition Corp. with the SEC on March 29,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6">
              <w:r>
                <w:rPr>
                  <w:rStyle w:val="InternetLink"/>
                </w:rPr>
                <w:t>Description of AEON Biopharma Inc.’s Securities Registered Pursuant to Section 12 of the Securities Exchange Act of 1934 (incorporated by reference to Exhibit 4.5 to the Form 10-K filed by the Company with the SEC on August 12,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7">
              <w:r>
                <w:rPr>
                  <w:rStyle w:val="InternetLink"/>
                  <w:spacing w:val="4"/>
                </w:rPr>
                <w:t>Form of Series A Warrant (incorporated by reference to Exhibit 4.1 to the Form 8-K filed by the Company with the SEC on January 7,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8">
              <w:r>
                <w:rPr>
                  <w:rStyle w:val="InternetLink"/>
                  <w:spacing w:val="4"/>
                </w:rPr>
                <w:t>Form of Series B Warrant (incorporated by reference to Exhibit 4.2 to the Form 8-K filed by the Company with the SEC on January 7,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29">
              <w:r>
                <w:rPr>
                  <w:rStyle w:val="InternetLink"/>
                  <w:spacing w:val="4"/>
                </w:rPr>
                <w:t>Form of Pre-Funded Warrant (incorporated by reference to Exhibit 4.1 to the Form 8-K filed by the Company with the SEC on November 13,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0">
              <w:r>
                <w:rPr>
                  <w:rStyle w:val="InternetLink"/>
                  <w:spacing w:val="4"/>
                </w:rPr>
                <w:t>Form of Warrant (incorporated by reference to Exhibit 4.2 to the Form 8-K filed by the Company with the SEC on November 13,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1">
              <w:r>
                <w:rPr>
                  <w:rStyle w:val="InternetLink"/>
                  <w:spacing w:val="4"/>
                </w:rPr>
                <w:t>Form of True-Up Warrant (incorporated by reference to Exhibit 4.3 to the Form 8-K filed by the Company with the SEC on November 13,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2">
              <w:r>
                <w:rPr>
                  <w:rStyle w:val="InternetLink"/>
                  <w:spacing w:val="4"/>
                </w:rPr>
                <w:t>Form of Senior Secured Convertible Note (incorporated by reference to Exhibit 4.1 to the Form 8-K filed by the Company with the SEC on December 15,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3">
              <w:r>
                <w:rPr>
                  <w:rStyle w:val="InternetLink"/>
                  <w:spacing w:val="4"/>
                </w:rPr>
                <w:t>Form of Pre-Funded Warrant (incorporated by reference to Exhibit 4.2 to the Form 8-K filed by the Company with the SEC on December 15,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spacing w:val="4"/>
              </w:rPr>
            </w:pPr>
            <w:r>
              <w:rPr>
                <w:spacing w:val="4"/>
              </w:rPr>
              <w:t xml:space="preserve">4.11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4">
              <w:r>
                <w:rPr>
                  <w:rStyle w:val="InternetLink"/>
                  <w:spacing w:val="4"/>
                </w:rPr>
                <w:t>Form of Common Warrant (incorporated by reference to Exhibit 4.3 to the Form 8-K filed by the Company with the SEC on December 15,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pPr>
            <w:r>
              <w:rPr>
                <w:spacing w:val="4"/>
              </w:rPr>
              <w:t>4.12†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left"/>
              <w:rPr/>
            </w:pPr>
            <w:hyperlink w:anchor="tm2615250d4_ex4-12.htm">
              <w:r>
                <w:rPr>
                  <w:rStyle w:val="InternetLink"/>
                  <w:spacing w:val="4"/>
                </w:rPr>
                <w:t>Form of Pre-Funded Warrant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pPr>
            <w:r>
              <w:rPr>
                <w:spacing w:val="4"/>
              </w:rPr>
              <w:t>4.13†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left"/>
              <w:rPr/>
            </w:pPr>
            <w:hyperlink w:anchor="tm2615250d4_ex4-13.htm">
              <w:r>
                <w:rPr>
                  <w:rStyle w:val="InternetLink"/>
                  <w:spacing w:val="4"/>
                </w:rPr>
                <w:t>Form of Two-Year Milestone Warrant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pPr>
            <w:r>
              <w:rPr>
                <w:spacing w:val="4"/>
              </w:rPr>
              <w:t>4.14†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left"/>
              <w:rPr/>
            </w:pPr>
            <w:hyperlink w:anchor="tm2615250d4_ex4-14.htm">
              <w:r>
                <w:rPr>
                  <w:rStyle w:val="InternetLink"/>
                  <w:spacing w:val="4"/>
                </w:rPr>
                <w:t>Form of Five-Year Milestone Warrant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877"/>
        <w:gridCol w:w="109"/>
        <w:gridCol w:w="109"/>
        <w:gridCol w:w="743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7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pPr>
            <w:r>
              <w:rPr>
                <w:spacing w:val="4"/>
              </w:rPr>
              <w:t>4.15†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w:anchor="tm2615250d4_ex4-15.htm">
              <w:r>
                <w:rPr>
                  <w:rStyle w:val="InternetLink"/>
                  <w:spacing w:val="4"/>
                </w:rPr>
                <w:t>Form of Warrant Agency Agreement, by and between AEON Biopharma, Inc. and Continental Stock Transfer &amp; Trust Company, as warrant agent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ind w:left="100" w:right="0" w:hanging="0"/>
              <w:jc w:val="left"/>
              <w:rPr/>
            </w:pPr>
            <w:r>
              <w:rPr>
                <w:spacing w:val="4"/>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left"/>
              <w:rPr/>
            </w:pPr>
            <w:hyperlink w:anchor="tm2615250d4_ex5-1.htm">
              <w:r>
                <w:rPr>
                  <w:rStyle w:val="InternetLink"/>
                  <w:spacing w:val="4"/>
                </w:rPr>
                <w:t>Opinion of Sullivan &amp; Worcester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pPr>
            <w:r>
              <w:rPr>
                <w:spacing w:val="4"/>
              </w:rPr>
              <w:t>10.1</w:t>
            </w:r>
            <w:r>
              <w:rPr>
                <w:b/>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5">
              <w:r>
                <w:rPr>
                  <w:rStyle w:val="InternetLink"/>
                  <w:spacing w:val="4"/>
                </w:rPr>
                <w:t>AEON Biopharma, Inc. Amended and Restated 2019 Incentive Award Plan (incorporated by reference to Exhibit 10.1 to the Form 8-K filed by the Company with the SEC on July 27,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pPr>
            <w:r>
              <w:rPr>
                <w:spacing w:val="4"/>
              </w:rPr>
              <w:t>10.1(a)</w:t>
            </w:r>
            <w:r>
              <w:rPr>
                <w:b/>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6">
              <w:r>
                <w:rPr>
                  <w:rStyle w:val="InternetLink"/>
                  <w:spacing w:val="4"/>
                </w:rPr>
                <w:t>Form of Stock Option Agreement under AEON Biopharma, Inc. Amended and Restated 2019 Incentive Award Plan (incorporated by reference to Exhibit 10.2 to the Form 8-K filed by the Company with the SEC on July 27,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pPr>
            <w:r>
              <w:rPr>
                <w:spacing w:val="4"/>
              </w:rPr>
              <w:t>10.1(b)</w:t>
            </w:r>
            <w:r>
              <w:rPr>
                <w:b/>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7">
              <w:r>
                <w:rPr>
                  <w:rStyle w:val="InternetLink"/>
                  <w:spacing w:val="4"/>
                </w:rPr>
                <w:t>Form of Restricted Stock Unit Agreement under AEON Biopharma, Inc. Amended and Restated 2019 Incentive Award Plan (incorporated by reference to Exhibit 10.3 to the Form 8-K filed by the Company with the SEC on July 27,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pPr>
            <w:r>
              <w:rPr>
                <w:spacing w:val="4"/>
              </w:rPr>
              <w:t>10.1(c)</w:t>
            </w:r>
            <w:r>
              <w:rPr>
                <w:b/>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8">
              <w:r>
                <w:rPr>
                  <w:rStyle w:val="InternetLink"/>
                  <w:spacing w:val="4"/>
                </w:rPr>
                <w:t>Form of Restricted Stock Unit Agreement under AEON Biopharma, Inc. Amended and Restated 2019 Incentive Award Plan (409A Deferred Compensation) (incorporated by reference to Exhibit 10.4 to the Form 8-K filed by the Company with the SEC on July 27,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pPr>
            <w:r>
              <w:rPr>
                <w:spacing w:val="4"/>
              </w:rPr>
              <w:t>10.2</w:t>
            </w:r>
            <w:r>
              <w:rPr>
                <w:b/>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39">
              <w:r>
                <w:rPr>
                  <w:rStyle w:val="InternetLink"/>
                  <w:spacing w:val="4"/>
                </w:rPr>
                <w:t>AEON Biopharma, Inc. 2023 Employee Stock Purchase Plan (incorporated by reference to Exhibit 10.9 to the Form S-1/A filed by the Company with the SEC on April 2, 2024)</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pPr>
            <w:r>
              <w:rPr>
                <w:spacing w:val="4"/>
              </w:rPr>
              <w:t>10.3</w:t>
            </w:r>
            <w:r>
              <w:rPr>
                <w:b/>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40">
              <w:r>
                <w:rPr>
                  <w:rStyle w:val="InternetLink"/>
                  <w:spacing w:val="4"/>
                </w:rPr>
                <w:t>AEON Biopharma, Inc. Non-Employee Director Compensation Program (incorporated by reference to Exhibit 10.6 to the Form 8-K filed by the Company with the SEC on July 27,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pPr>
            <w:r>
              <w:rPr>
                <w:spacing w:val="4"/>
              </w:rPr>
              <w:t>10.4</w:t>
            </w:r>
            <w:r>
              <w:rPr>
                <w:b/>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41">
              <w:r>
                <w:rPr>
                  <w:rStyle w:val="InternetLink"/>
                  <w:spacing w:val="4"/>
                </w:rPr>
                <w:t>Amended and Restated Employment Agreement, by and between AEON Biopharma, Inc. and Marc Forth (incorporated by reference to Exhibit 10.11 to the Form 8-K filed by the Company with the SEC on July 27,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pPr>
            <w:r>
              <w:rPr>
                <w:spacing w:val="4"/>
              </w:rPr>
              <w:t>10.5</w:t>
            </w:r>
            <w:r>
              <w:rPr>
                <w:b/>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42">
              <w:r>
                <w:rPr>
                  <w:rStyle w:val="InternetLink"/>
                  <w:spacing w:val="4"/>
                </w:rPr>
                <w:t>Employment Agreement, by and between AEON Biopharma, Inc. and Chad Oh (incorporated by reference to Exhibit 10.12 to the Form 8-K filed by the Company with the SEC on July 27,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pPr>
            <w:r>
              <w:rPr>
                <w:spacing w:val="4"/>
              </w:rPr>
              <w:t>10.6</w:t>
            </w:r>
            <w:r>
              <w:rPr>
                <w:b/>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43">
              <w:r>
                <w:rPr>
                  <w:rStyle w:val="InternetLink"/>
                  <w:spacing w:val="4"/>
                </w:rPr>
                <w:t>Employment Agreement, by and between AEON Biopharma, Inc. and Alex Wilson (incorporated by reference to Exhibit 10.13 to the Form 8-K filed by the Company with the SEC on July 27,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pPr>
            <w:r>
              <w:rPr>
                <w:spacing w:val="4"/>
              </w:rPr>
              <w:t>10.7</w:t>
            </w:r>
            <w:r>
              <w:rPr>
                <w:b/>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44">
              <w:r>
                <w:rPr>
                  <w:rStyle w:val="InternetLink"/>
                </w:rPr>
                <w:t>Consulting Agreement, by and between AEON Biopharma, Inc. and Eric Carter, M.D., dated January 30, 2020, and amended on January 30, 2020 and September 30, 2020 (incorporated by reference to Exhibit 10.11 to the Annual Report on Form 10-K filed by the Company with the SEC on March 29,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45">
              <w:r>
                <w:rPr>
                  <w:rStyle w:val="InternetLink"/>
                </w:rPr>
                <w:t>Amended and Restated Registration Rights Agreement, dated as of July 21, 2023, by and between AEON Biopharma, Inc. and the stockholders party thereto (incorporated by reference to Exhibit 10.20 to the Form 8-K filed by the Company with the SEC on July 27,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46">
              <w:r>
                <w:rPr>
                  <w:rStyle w:val="InternetLink"/>
                </w:rPr>
                <w:t>Termination Agreement, dated March 18, 2024, by and between AEON Biopharma, Inc. and ACM ARRT J LLC (incorporated by reference to Exhibit 10.5 to the Form 8-K filed by the Company with the SEC on March 19,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47">
              <w:r>
                <w:rPr>
                  <w:rStyle w:val="InternetLink"/>
                </w:rPr>
                <w:t>Termination Agreement, dated March 18, 2024, by and between AEON Biopharma, Inc. and Polar Multi-Strategy Fund (incorporated by reference to Exhibit 10.6 to the Form 8-K filed by the Company with the SEC on March 19,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48">
              <w:r>
                <w:rPr>
                  <w:rStyle w:val="InternetLink"/>
                </w:rPr>
                <w:t>Subscription Agreement, dated March 19, 2024, by and between AEON Biopharma, Inc., Daewoong Pharmaceutical Co., LTD. and AEON Biopharma Sub, Inc. (incorporated by reference to Exhibit 10.1 to the Form 8-K filed by the Company with the SEC on March 19,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49">
              <w:r>
                <w:rPr>
                  <w:rStyle w:val="InternetLink"/>
                </w:rPr>
                <w:t>Security Agreement, dated March 19, 2024, by and among AEON Biopharma, Inc., Daewoong Pharmaceutical Co., LTD. and AEON Biopharma Sub, Inc. (incorporated by reference to Exhibit 10.2 to the Form 8-K filed by the Company with the SEC on March 19,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7" w:type="dxa"/>
            <w:tcBorders/>
            <w:tcMar>
              <w:bottom w:w="0" w:type="dxa"/>
            </w:tcMar>
            <w:vAlign w:val="center"/>
          </w:tcPr>
          <w:p>
            <w:pPr>
              <w:pStyle w:val="TableContents"/>
              <w:bidi w:val="0"/>
              <w:spacing w:before="0" w:after="283"/>
              <w:jc w:val="left"/>
              <w:rPr>
                <w:spacing w:val="4"/>
              </w:rPr>
            </w:pPr>
            <w:r>
              <w:rPr>
                <w:spacing w:val="4"/>
              </w:rPr>
              <w:t xml:space="preserve">10.13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8" w:type="dxa"/>
            <w:tcBorders/>
            <w:tcMar>
              <w:bottom w:w="0" w:type="dxa"/>
            </w:tcMar>
            <w:vAlign w:val="center"/>
          </w:tcPr>
          <w:p>
            <w:pPr>
              <w:pStyle w:val="TableContents"/>
              <w:bidi w:val="0"/>
              <w:spacing w:before="0" w:after="0"/>
              <w:jc w:val="both"/>
              <w:rPr/>
            </w:pPr>
            <w:hyperlink r:id="rId50">
              <w:r>
                <w:rPr>
                  <w:rStyle w:val="InternetLink"/>
                </w:rPr>
                <w:t>Guaranty, dated March 19, 2024, by and between Daewoong Pharmaceutical Co., LTD. and AEON Biopharma Sub, Inc. (incorporated by reference to Exhibit 10.3 to the Form 8-K filed by the Company with the SEC on March 19,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pacing w:val="4"/>
            <w:sz w:val="16"/>
            <w:u w:val="none"/>
            <w:effect w:val="none"/>
          </w:rPr>
          <w:t>TABLE OF CONTENTS</w:t>
        </w:r>
      </w:hyperlink>
      <w:r>
        <w:rPr>
          <w:rFonts w:ascii="calibri;arial;sans-serif" w:hAnsi="calibri;arial;sans-serif"/>
          <w:b w:val="false"/>
          <w:i w:val="false"/>
          <w:caps w:val="false"/>
          <w:smallCaps w:val="false"/>
          <w:color w:val="000000"/>
          <w:spacing w:val="4"/>
          <w:sz w:val="16"/>
        </w:rPr>
        <w:t xml:space="preserve"> </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tbl>
      <w:tblPr>
        <w:tblW w:w="8812" w:type="dxa"/>
        <w:jc w:val="left"/>
        <w:tblInd w:w="1393" w:type="dxa"/>
        <w:tblLayout w:type="fixed"/>
        <w:tblCellMar>
          <w:top w:w="0" w:type="dxa"/>
          <w:left w:w="0" w:type="dxa"/>
          <w:bottom w:w="28" w:type="dxa"/>
          <w:right w:w="0" w:type="dxa"/>
        </w:tblCellMar>
      </w:tblPr>
      <w:tblGrid>
        <w:gridCol w:w="124"/>
        <w:gridCol w:w="878"/>
        <w:gridCol w:w="109"/>
        <w:gridCol w:w="109"/>
        <w:gridCol w:w="743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7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1">
              <w:r>
                <w:rPr>
                  <w:rStyle w:val="InternetLink"/>
                </w:rPr>
                <w:t>License and Supply Agreement, dated as of December 20, 2019, by and between Daewoong Pharmaceutical Co., LTD. and AEON Biopharma, Inc. (incorporated by reference to Exhibit 10.15 to the Form S-4 filed by Priveterra Acquisition Corp. with the SEC on December 27,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2">
              <w:r>
                <w:rPr>
                  <w:rStyle w:val="InternetLink"/>
                </w:rPr>
                <w:t>Amendment to License and Supply Agreement, dated as of July 29, 2022, by and between Daewoong Pharmaceutical Co., LTD. and AEON Biopharma, Inc. (incorporated by reference to Exhibit 10.15(a) to the Form S-4 filed by Priveterra Acquisition Corp. with the SEC on December 27,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10.14(b)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3">
              <w:r>
                <w:rPr>
                  <w:rStyle w:val="InternetLink"/>
                </w:rPr>
                <w:t>Second Amendment to the License and Supply Agreement, dated as of January 8, 2023, by and between AEON Biopharma, Inc. and Daewoong Pharmaceutical Co., Ltd. (incorporated by reference to Exhibit 10.17(b) to the Form S-1/A filed by the Company with the SEC on April 2,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10.14(c)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4">
              <w:r>
                <w:rPr>
                  <w:rStyle w:val="InternetLink"/>
                </w:rPr>
                <w:t>Third Amendment to License and Supply Agreement, dated April 24, 2023, by and between Daewoong Pharmaceutical Co. (incorporated by reference to Exhibit 10.17(c) to the Form S-1/A filed by the Company with the SEC on April 2,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10.14(d)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5">
              <w:r>
                <w:rPr>
                  <w:rStyle w:val="InternetLink"/>
                </w:rPr>
                <w:t>Fourth Amendment to License and Supply Agreement, dated March 19, 2024, by and between AEON Biopharma, Inc. and Daewoong Pharmaceutical Co., LTD. (incorporated by reference to Exhibit 10.4 to the Form 8-K filed by the Company with the SEC on March 19,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6">
              <w:r>
                <w:rPr>
                  <w:rStyle w:val="InternetLink"/>
                </w:rPr>
                <w:t>Settlement and License Agreement dated as of June 21, 2021, by and between AEON Biopharma, Inc. and Medytox, Inc. (incorporated by reference to Exhibit 10.16 to the Form S-4 filed by Priveterra Acquisition Corp. with the SEC on December 27,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10.15(a)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7">
              <w:r>
                <w:rPr>
                  <w:rStyle w:val="InternetLink"/>
                </w:rPr>
                <w:t>Amendment to Settlement and License Agreement, dated as of May 5, 2022, by and between AEON Biopharma, Inc. and Medytox, Inc. (incorporated by reference to Exhibit 10.16(a) to the Form S-4 filed by Priveterra Acquisition Corp. with the SEC on December 27, 2022)</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8">
              <w:r>
                <w:rPr>
                  <w:rStyle w:val="InternetLink"/>
                </w:rPr>
                <w:t>Sponsor Support Agreement, dated as of December 12, 2022, by and among Priveterra Sponsor, LLC, Priveterra Acquisition Corp., and the other parties thereto (incorporated by reference to Exhibit 10.18 to the Form S-1/A filed by the Company with the SEC on November 24,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10.16(a)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59">
              <w:r>
                <w:rPr>
                  <w:rStyle w:val="InternetLink"/>
                </w:rPr>
                <w:t>Amendment No. 1 to Sponsor Support Agreement, dated as of April 27, 2023, by and among Priveterra Sponsor, LLC, Priveterra Acquisition Corp., and the other parties thereto (incorporated by reference to Exhibit 10.17 to the Form S-4/A filed by Priveterra Acquisition Corp. with the SEC on May 1,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pPr>
            <w:r>
              <w:rPr>
                <w:spacing w:val="4"/>
              </w:rPr>
              <w:t>10.17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60">
              <w:r>
                <w:rPr>
                  <w:rStyle w:val="InternetLink"/>
                </w:rPr>
                <w:t>Sales Agreement, dated August 14, 2024, by and between Registrant and Leerink Partners LLC (incorporated by reference to Exhibit 1.2 to the Form S-3 filed by the Company with the SEC on August 15,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61">
              <w:r>
                <w:rPr>
                  <w:rStyle w:val="InternetLink"/>
                </w:rPr>
                <w:t>Underwriting Agreement, dated January 6, 2025, by and between AEON Biopharma, Inc. and Aegis Capital Corp (incorporated by reference to Exhibit 10.1 to the Form 8-K filed by the Company with the SEC on January 7,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62">
              <w:r>
                <w:rPr>
                  <w:rStyle w:val="InternetLink"/>
                </w:rPr>
                <w:t>Employment Agreement, by and between AEON Biopharma, Inc. and Robert Bancroft (incorporated by reference to Exhibit 10.1 to the Form 8-K filed by the Company with the SEC on April 21,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63">
              <w:r>
                <w:rPr>
                  <w:rStyle w:val="InternetLink"/>
                </w:rPr>
                <w:t>AEON Biopharma, Inc. 2025 Employment Inducement Incentive Award Plan and form of award agreements thereto (incorporated by reference to Exhibit 99.1 to the Form S-8 filed by the Company with the SEC on May 14,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64">
              <w:r>
                <w:rPr>
                  <w:rStyle w:val="InternetLink"/>
                </w:rPr>
                <w:t>Securities Purchase Agreement, dated November 12, 2025, by and among AEON Biopharma, Inc. and the several investors signatory thereto (incorporated by reference to Exhibit 10.1 to the Form 8-K filed by the Company with the SEC on November 13,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78" w:type="dxa"/>
            <w:tcBorders/>
            <w:tcMar>
              <w:bottom w:w="0" w:type="dxa"/>
            </w:tcMar>
            <w:vAlign w:val="center"/>
          </w:tcPr>
          <w:p>
            <w:pPr>
              <w:pStyle w:val="TableContents"/>
              <w:bidi w:val="0"/>
              <w:spacing w:before="0" w:after="283"/>
              <w:jc w:val="left"/>
              <w:rPr>
                <w:spacing w:val="4"/>
              </w:rPr>
            </w:pPr>
            <w:r>
              <w:rPr>
                <w:spacing w:val="4"/>
              </w:rPr>
              <w:t xml:space="preserve">10.22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7" w:type="dxa"/>
            <w:tcBorders/>
            <w:tcMar>
              <w:bottom w:w="0" w:type="dxa"/>
            </w:tcMar>
            <w:vAlign w:val="center"/>
          </w:tcPr>
          <w:p>
            <w:pPr>
              <w:pStyle w:val="TableContents"/>
              <w:bidi w:val="0"/>
              <w:spacing w:before="0" w:after="0"/>
              <w:jc w:val="both"/>
              <w:rPr/>
            </w:pPr>
            <w:hyperlink r:id="rId65">
              <w:r>
                <w:rPr>
                  <w:rStyle w:val="InternetLink"/>
                </w:rPr>
                <w:t>Form of Registration Rights Agreement to be entered by and among AEON Biopharma, Inc. and the several investors signatory thereto (incorporated by reference to Exhibit 10.2 to the Form 8-K filed by the Company with the SEC on November 13,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II-9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884"/>
        <w:gridCol w:w="109"/>
        <w:gridCol w:w="109"/>
        <w:gridCol w:w="743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spacing w:val="4"/>
              </w:rPr>
            </w:pPr>
            <w:r>
              <w:rPr>
                <w:spacing w:val="4"/>
              </w:rPr>
              <w:t xml:space="preserve">10.23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both"/>
              <w:rPr/>
            </w:pPr>
            <w:hyperlink r:id="rId66">
              <w:r>
                <w:rPr>
                  <w:rStyle w:val="InternetLink"/>
                  <w:spacing w:val="4"/>
                </w:rPr>
                <w:t>Odeon Settlement Agreement October 2025 (incorporated by reference to Exhibit 10.1 to the Form 10-Q filed by the Company with the SEC on November 14,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spacing w:val="4"/>
              </w:rPr>
            </w:pPr>
            <w:r>
              <w:rPr>
                <w:spacing w:val="4"/>
              </w:rPr>
              <w:t xml:space="preserve">10.24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both"/>
              <w:rPr/>
            </w:pPr>
            <w:hyperlink r:id="rId67">
              <w:r>
                <w:rPr>
                  <w:rStyle w:val="InternetLink"/>
                  <w:spacing w:val="4"/>
                </w:rPr>
                <w:t>Form of Odeon Warrants October 2025 (incorporated by reference to Exhibit 10.2 to the Form 10-Q filed by the Company with the SEC on November 14,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spacing w:val="4"/>
              </w:rPr>
            </w:pPr>
            <w:r>
              <w:rPr>
                <w:spacing w:val="4"/>
              </w:rPr>
              <w:t xml:space="preserve">10.25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both"/>
              <w:rPr/>
            </w:pPr>
            <w:hyperlink r:id="rId68">
              <w:r>
                <w:rPr>
                  <w:rStyle w:val="InternetLink"/>
                </w:rPr>
                <w:t>Exchange Agreement, dated as of December 15, 2025, by and among AEON Biopharma, Inc., AEON Biopharma Sub, Inc., and Daewoong Pharmaceutical Co. Ltd (incorporated by reference to Exhibit 10.1 to the Form 8-K filed by the Company with the SEC on December 15,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spacing w:val="4"/>
              </w:rPr>
            </w:pPr>
            <w:r>
              <w:rPr>
                <w:spacing w:val="4"/>
              </w:rPr>
              <w:t xml:space="preserve">10.26+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both"/>
              <w:rPr/>
            </w:pPr>
            <w:hyperlink r:id="rId69">
              <w:r>
                <w:rPr>
                  <w:rStyle w:val="InternetLink"/>
                  <w:spacing w:val="4"/>
                </w:rPr>
                <w:t>AEON Biopharma, Inc. Amended and Restated 2023 Incentive Award Plan (incorporated by reference to Exhibit 10.1 to the Form 8-K filed by the Company with the SEC on January 21,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spacing w:val="4"/>
              </w:rPr>
            </w:pPr>
            <w:r>
              <w:rPr>
                <w:spacing w:val="4"/>
              </w:rPr>
              <w:t xml:space="preserve">10.26(a)+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both"/>
              <w:rPr/>
            </w:pPr>
            <w:hyperlink r:id="rId70">
              <w:r>
                <w:rPr>
                  <w:rStyle w:val="InternetLink"/>
                </w:rPr>
                <w:t>Form of Stock Option Agreement under AEON Biopharma, Inc. 2023 Incentive Award Plan (incorporated by reference to Exhibit 10.6 to the Form S-4/A filed by Priveterra Acquisition Corp. with the SEC on May 1,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0"/>
              <w:jc w:val="both"/>
              <w:rPr>
                <w:spacing w:val="4"/>
              </w:rPr>
            </w:pPr>
            <w:r>
              <w:rPr>
                <w:spacing w:val="4"/>
              </w:rPr>
              <w:t xml:space="preserve">10.26(b)+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both"/>
              <w:rPr/>
            </w:pPr>
            <w:hyperlink r:id="rId71">
              <w:r>
                <w:rPr>
                  <w:rStyle w:val="InternetLink"/>
                </w:rPr>
                <w:t>Form of Restricted Stock Unit Agreement under AEON Biopharma, Inc. 2023 Incentive Award Plan (incorporated by reference to Exhibit 10.7 to the Form S-4/A filed by Priveterra Acquisition Corp. with the SEC on May 1, 2023)</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spacing w:val="4"/>
              </w:rPr>
            </w:pPr>
            <w:r>
              <w:rPr>
                <w:spacing w:val="4"/>
              </w:rPr>
              <w:t xml:space="preserve">10.27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both"/>
              <w:rPr/>
            </w:pPr>
            <w:hyperlink r:id="rId72">
              <w:r>
                <w:rPr>
                  <w:rStyle w:val="InternetLink"/>
                </w:rPr>
                <w:t>Fifth Amendment to the License and Supply Agreement, dated as of January 21, 2026, by and between the Company and Daewoong Pharmaceutical Co., Ltd (incorporated by reference to Exhibit 10.2 to the Form 8-K filed by the Company with the SEC on January 21,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spacing w:val="4"/>
              </w:rPr>
            </w:pPr>
            <w:r>
              <w:rPr>
                <w:spacing w:val="4"/>
              </w:rPr>
              <w:t xml:space="preserve">10.28+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both"/>
              <w:rPr/>
            </w:pPr>
            <w:hyperlink r:id="rId73">
              <w:r>
                <w:rPr>
                  <w:rStyle w:val="InternetLink"/>
                </w:rPr>
                <w:t>Employment Agreement, by and between AEON Biopharma, Inc. and John Bencich (incorporated by reference to Exhibit 10.1 to the Form 8-K filed by the Company with the SEC on March 9,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spacing w:val="4"/>
              </w:rPr>
            </w:pPr>
            <w:r>
              <w:rPr>
                <w:spacing w:val="4"/>
              </w:rPr>
              <w:t xml:space="preserve">10.29+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both"/>
              <w:rPr/>
            </w:pPr>
            <w:hyperlink r:id="rId74">
              <w:r>
                <w:rPr>
                  <w:rStyle w:val="InternetLink"/>
                </w:rPr>
                <w:t>Employment Agreement, by and between AEON Biopharma, Inc. and Jennifer Sy (incorporated by reference to Exhibit 10.2 to the Form 8-K filed by the Company with the SEC on March 9,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spacing w:val="4"/>
              </w:rPr>
            </w:pPr>
            <w:r>
              <w:rPr>
                <w:spacing w:val="4"/>
              </w:rPr>
              <w:t xml:space="preserve">10.30+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both"/>
              <w:rPr/>
            </w:pPr>
            <w:hyperlink r:id="rId75">
              <w:r>
                <w:rPr>
                  <w:rStyle w:val="InternetLink"/>
                  <w:spacing w:val="4"/>
                </w:rPr>
                <w:t>Form of Indemnification Agreement (incorporated by reference to Exhibit 10.9 to the Form S-4 on May 1,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pPr>
            <w:r>
              <w:rPr>
                <w:spacing w:val="4"/>
              </w:rPr>
              <w:t>10.31†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left"/>
              <w:rPr/>
            </w:pPr>
            <w:hyperlink w:anchor="tm2615250d4_ex10-31.htm">
              <w:r>
                <w:rPr>
                  <w:rStyle w:val="InternetLink"/>
                  <w:spacing w:val="4"/>
                </w:rPr>
                <w:t>Form of Warrant Solicitation Agreement</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pPr>
            <w:r>
              <w:rPr>
                <w:spacing w:val="4"/>
              </w:rPr>
              <w:t>23.1†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left"/>
              <w:rPr/>
            </w:pPr>
            <w:hyperlink w:anchor="tm2615250d4_ex23-1.htm">
              <w:r>
                <w:rPr>
                  <w:rStyle w:val="InternetLink"/>
                  <w:spacing w:val="4"/>
                </w:rPr>
                <w:t>Consent of KPMG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pPr>
            <w:r>
              <w:rPr>
                <w:spacing w:val="4"/>
              </w:rPr>
              <w:t>23.2†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left"/>
              <w:rPr/>
            </w:pPr>
            <w:hyperlink w:anchor="tm2615250d4_ex5-1.htm">
              <w:r>
                <w:rPr>
                  <w:rStyle w:val="InternetLink"/>
                  <w:spacing w:val="4"/>
                </w:rPr>
                <w:t>Consent of Sullivan &amp; Worcester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left"/>
              <w:rPr/>
            </w:pPr>
            <w:hyperlink w:anchor="tPOA">
              <w:r>
                <w:rPr>
                  <w:rStyle w:val="InternetLink"/>
                  <w:spacing w:val="4"/>
                </w:rPr>
                <w:t>Power of Attorney (included on signature page)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4" w:type="dxa"/>
            <w:tcBorders/>
            <w:tcMar>
              <w:bottom w:w="0" w:type="dxa"/>
            </w:tcMar>
            <w:vAlign w:val="center"/>
          </w:tcPr>
          <w:p>
            <w:pPr>
              <w:pStyle w:val="TableContents"/>
              <w:bidi w:val="0"/>
              <w:spacing w:before="0" w:after="283"/>
              <w:jc w:val="left"/>
              <w:rPr/>
            </w:pPr>
            <w:r>
              <w:rPr>
                <w:spacing w:val="4"/>
              </w:rPr>
              <w:t>107†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1" w:type="dxa"/>
            <w:tcBorders/>
            <w:tcMar>
              <w:bottom w:w="0" w:type="dxa"/>
            </w:tcMar>
            <w:vAlign w:val="center"/>
          </w:tcPr>
          <w:p>
            <w:pPr>
              <w:pStyle w:val="TableContents"/>
              <w:bidi w:val="0"/>
              <w:spacing w:before="0" w:after="0"/>
              <w:jc w:val="left"/>
              <w:rPr/>
            </w:pPr>
            <w:hyperlink w:anchor="tm2615250d3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1016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Management contract or compensatory plan, contract or arrangement.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POA"/>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has duly caused this Registration Statement to be signed on its behalf by the undersigned, thereunto duly authorized in the City of Irvine, State of California on the 8th day of July, 2026. </w:t>
      </w:r>
    </w:p>
    <w:p>
      <w:pPr>
        <w:pStyle w:val="TextBody"/>
        <w:bidi w:val="0"/>
        <w:spacing w:lineRule="atLeast" w:line="240" w:before="16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AEON BIOPHARMA,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0"/>
        <w:ind w:left="6193" w:right="0" w:hanging="0"/>
        <w:jc w:val="left"/>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/s/ Robert Bancroft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88900" distB="0" distL="2794000" distR="0" simplePos="0" locked="0" layoutInCell="1" allowOverlap="1" relativeHeight="94">
                <wp:simplePos x="0" y="0"/>
                <wp:positionH relativeFrom="column">
                  <wp:align>left</wp:align>
                </wp:positionH>
                <wp:positionV relativeFrom="line">
                  <wp:align>top</wp:align>
                </wp:positionV>
                <wp:extent cx="254000" cy="525780"/>
                <wp:effectExtent l="0" t="0" r="0" b="0"/>
                <wp:wrapSquare wrapText="right"/>
                <wp:docPr id="90" name="Frame8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7pt;mso-wrap-distance-bottom:0pt;margin-top: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Name: Robert Bancroft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President and Chief Executive Officer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constitutes and appoints Robert Bancroft and John Bencich, and each of them, as his or her true and lawful attorney-in-fact and agents,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w:t>
      </w:r>
    </w:p>
    <w:tbl>
      <w:tblPr>
        <w:tblW w:w="8527" w:type="dxa"/>
        <w:jc w:val="left"/>
        <w:tblInd w:w="1393" w:type="dxa"/>
        <w:tblLayout w:type="fixed"/>
        <w:tblCellMar>
          <w:top w:w="0" w:type="dxa"/>
          <w:left w:w="0" w:type="dxa"/>
          <w:bottom w:w="28" w:type="dxa"/>
          <w:right w:w="0" w:type="dxa"/>
        </w:tblCellMar>
      </w:tblPr>
      <w:tblGrid>
        <w:gridCol w:w="124"/>
        <w:gridCol w:w="2176"/>
        <w:gridCol w:w="109"/>
        <w:gridCol w:w="109"/>
        <w:gridCol w:w="4273"/>
        <w:gridCol w:w="109"/>
        <w:gridCol w:w="109"/>
        <w:gridCol w:w="136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76" w:type="dxa"/>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273" w:type="dxa"/>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4" w:type="dxa"/>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left"/>
              <w:rPr/>
            </w:pPr>
            <w:r>
              <w:rPr>
                <w:spacing w:val="4"/>
              </w:rPr>
              <w:t>/s/ Robert Bancroft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Robert Bancroft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pPr>
            <w:r>
              <w:rPr>
                <w:spacing w:val="4"/>
              </w:rPr>
              <w:t>President, Chief Executive Officer</w:t>
            </w:r>
            <w:r>
              <w:rPr/>
              <w:t xml:space="preserve"> </w:t>
              <w:br/>
            </w:r>
            <w:r>
              <w:rPr>
                <w:spacing w:val="4"/>
              </w:rPr>
              <w:t>(Principal Executive Officer) and Director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pPr>
            <w:r>
              <w:rPr>
                <w:spacing w:val="4"/>
              </w:rPr>
              <w:t>July 8, 2026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left"/>
              <w:rPr/>
            </w:pPr>
            <w:r>
              <w:rPr>
                <w:spacing w:val="4"/>
              </w:rPr>
              <w:t>/s/ Jennifer Sy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Jennifer Sy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pPr>
            <w:r>
              <w:rPr>
                <w:spacing w:val="4"/>
              </w:rPr>
              <w:t xml:space="preserve">Chief Accounting Officer </w:t>
            </w:r>
            <w:r>
              <w:rPr/>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pPr>
            <w:r>
              <w:rPr>
                <w:spacing w:val="4"/>
              </w:rPr>
              <w:t>July 8, 2026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left"/>
              <w:rPr/>
            </w:pPr>
            <w:r>
              <w:rPr>
                <w:spacing w:val="4"/>
              </w:rPr>
              <w:t>/s/ John Bencich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John Bencich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pPr>
            <w:r>
              <w:rPr>
                <w:spacing w:val="4"/>
              </w:rPr>
              <w:t xml:space="preserve">Chief Financial Officer </w:t>
            </w:r>
            <w:r>
              <w:rPr/>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pPr>
            <w:r>
              <w:rPr>
                <w:spacing w:val="4"/>
              </w:rPr>
              <w:t>July 8, 2026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left"/>
              <w:rPr/>
            </w:pPr>
            <w:r>
              <w:rPr>
                <w:spacing w:val="4"/>
              </w:rPr>
              <w:t>/s/ Jost Fischer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Jost Fischer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spacing w:val="4"/>
              </w:rPr>
            </w:pPr>
            <w:r>
              <w:rPr>
                <w:spacing w:val="4"/>
              </w:rPr>
              <w:t xml:space="preserve">Chairman of the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pPr>
            <w:r>
              <w:rPr>
                <w:spacing w:val="4"/>
              </w:rPr>
              <w:t>July 8, 2026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left"/>
              <w:rPr/>
            </w:pPr>
            <w:r>
              <w:rPr>
                <w:spacing w:val="4"/>
              </w:rPr>
              <w:t>/s/ Robert Palmisano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Robert Palmisano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pPr>
            <w:r>
              <w:rPr>
                <w:spacing w:val="4"/>
              </w:rPr>
              <w:t>July 8, 2026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left"/>
              <w:rPr/>
            </w:pPr>
            <w:r>
              <w:rPr>
                <w:spacing w:val="4"/>
              </w:rPr>
              <w:t>/s/ Shelley Thunen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Shelley Thunen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pPr>
            <w:r>
              <w:rPr>
                <w:spacing w:val="4"/>
              </w:rPr>
              <w:t>July 8, 2026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76" w:type="dxa"/>
            <w:tcBorders/>
            <w:tcMar>
              <w:bottom w:w="0" w:type="dxa"/>
            </w:tcMar>
            <w:vAlign w:val="center"/>
          </w:tcPr>
          <w:p>
            <w:pPr>
              <w:pStyle w:val="TableContents"/>
              <w:bidi w:val="0"/>
              <w:spacing w:before="0" w:after="0"/>
              <w:jc w:val="left"/>
              <w:rPr/>
            </w:pPr>
            <w:r>
              <w:rPr>
                <w:spacing w:val="4"/>
              </w:rPr>
              <w:t>/s/ Eric Carter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Eric Carter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7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pPr>
            <w:r>
              <w:rPr>
                <w:spacing w:val="4"/>
              </w:rPr>
              <w:t>July 8,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961" w:type="dxa"/>
        <w:jc w:val="left"/>
        <w:tblInd w:w="1393" w:type="dxa"/>
        <w:tblLayout w:type="fixed"/>
        <w:tblCellMar>
          <w:top w:w="0" w:type="dxa"/>
          <w:left w:w="0" w:type="dxa"/>
          <w:bottom w:w="28" w:type="dxa"/>
          <w:right w:w="0" w:type="dxa"/>
        </w:tblCellMar>
      </w:tblPr>
      <w:tblGrid>
        <w:gridCol w:w="124"/>
        <w:gridCol w:w="1909"/>
        <w:gridCol w:w="109"/>
        <w:gridCol w:w="109"/>
        <w:gridCol w:w="974"/>
        <w:gridCol w:w="109"/>
        <w:gridCol w:w="109"/>
        <w:gridCol w:w="136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909" w:type="dxa"/>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4" w:type="dxa"/>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09" w:type="dxa"/>
            <w:tcBorders/>
            <w:tcMar>
              <w:bottom w:w="0" w:type="dxa"/>
            </w:tcMar>
            <w:vAlign w:val="center"/>
          </w:tcPr>
          <w:p>
            <w:pPr>
              <w:pStyle w:val="TableContents"/>
              <w:bidi w:val="0"/>
              <w:spacing w:before="0" w:after="0"/>
              <w:jc w:val="left"/>
              <w:rPr/>
            </w:pPr>
            <w:r>
              <w:rPr>
                <w:spacing w:val="4"/>
              </w:rPr>
              <w:t>/s/ Seongsoo Park</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Seongsoo Park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spacing w:val="4"/>
              </w:rPr>
            </w:pPr>
            <w:r>
              <w:rPr>
                <w:spacing w:val="4"/>
              </w:rPr>
              <w:t xml:space="preserve">July 8,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09" w:type="dxa"/>
            <w:tcBorders/>
            <w:tcMar>
              <w:bottom w:w="0" w:type="dxa"/>
            </w:tcMar>
            <w:vAlign w:val="center"/>
          </w:tcPr>
          <w:p>
            <w:pPr>
              <w:pStyle w:val="TableContents"/>
              <w:bidi w:val="0"/>
              <w:spacing w:before="0" w:after="0"/>
              <w:jc w:val="left"/>
              <w:rPr/>
            </w:pPr>
            <w:r>
              <w:rPr>
                <w:spacing w:val="4"/>
              </w:rPr>
              <w:t>/s/ Marc Forth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Marc Forth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4" w:type="dxa"/>
            <w:tcBorders/>
            <w:tcMar>
              <w:bottom w:w="0" w:type="dxa"/>
            </w:tcMar>
            <w:vAlign w:val="center"/>
          </w:tcPr>
          <w:p>
            <w:pPr>
              <w:pStyle w:val="TableContents"/>
              <w:bidi w:val="0"/>
              <w:spacing w:before="0" w:after="0"/>
              <w:jc w:val="center"/>
              <w:rPr/>
            </w:pPr>
            <w:r>
              <w:rPr>
                <w:spacing w:val="4"/>
              </w:rPr>
              <w:t>July 8,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0" w:name="tm2615250d4_ex1-1.htm"/>
      <w:bookmarkStart w:id="21" w:name="kstm2615250d4_ex11"/>
      <w:bookmarkEnd w:id="20"/>
      <w:bookmarkEnd w:id="21"/>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 Biopharma,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to Purchase [●]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Two-Year Milestone Warrants to Purchase [●] Shares of Class A Common Stock (or Pre-Funded Warrants in lieu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Five-Year Milestone Warrants to Purchase [●] Shares of Class A Common Stock (or Pre-Funded Warrants in lieu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Street Capital Markets,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 of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Underwriters listed in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 to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Lake Street Capital Markets,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South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Ste. 1000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 Biopharma, Inc., a Delaware corporation (the “Company”), proposes to issue and sell to the several underwriters listed in Schedule 1 hereto (the “Underwriters”), for whom you are acting as representative (the “Representative”), an aggregate of (i) [●] shares of Class A common stock, par value $0.0001 per share (the “Common Stock”), of the Company (the “Firm Shares”), (ii) pre-funded warrants to purchase [●] shares of Common Stock substantially in the form of Exhibit D hereto (the “Pre-Funded Warrants”), (iii) two-year milestone warrants to purchase [●] shares of Common Stock (or Pre-Funded Warrants in lieu thereof) substantially in the form of Exhibit E hereto (the “Two-Year Milestone Warrants”), (iv) five-year milestone warrants to purchase [●] shares of Common Stock (or Pre-Funded Warrants in lieu thereof) substantially in the form of Exhibit F hereto (the “Five-Year Milestone Warrants,” together with the Two-Year Milestone Warrants, the “Common Warrants,” and together with the Firm Shares, the “Firm Securities”) and (v), at the option of the Underwriters, up to any combination of an additional [●] shares of Common Stock (the “Option Shares” and together with the Firm Shares, the “Shares”), and/or Pre-Funded Warrants to purchase [●] shares of Common Stock (the “Pre-Funded Option Warrants”) (for the avoidance of doubt, the maximum number of Option Shares and Pre-Funded Option Warrants that may be purchased in the aggregate pursuant to this option is [●]), and/or Two-Year Milestone Warrants to purchase [●] shares of Common Stock (or Pre-Funded Warrants in lieu thereof) (the “Two-Year Milestone Option Warrants”) and/or Five-Year Milestone Warrants to purchase [●] shares of Common Stock (the “Five-Year Milestone Option Warrants,” together with the Two-Year Milestone Option Warrants, the “Option Common Warrants” and together with the Pre-Funded Option Warrants, the “Option Warrants” and together with the Option Shares, the “Option Securities”). The Pre-Funded Warrants, the Common Warrants and the Option Warrants are collectively herein referred to as the “Warrants.” The shares of Common Stock issuable upon exercise of the Pre-Funded Warrants, the Common Warrants and the Option Warrants are collectively herein referred to as the “Warrant Shares.” The Firm Securities and the Option Securities are collectively herein referred to as the “Securities.” The shares of Common Stock of the Company to be outstanding after giving effect to the sale of the Securities are referred to herein as the “Stock.” Each (i) Pre-Funded Warrant has an exercise price of $[●] per share of Common Stock, (ii) Two-Year Milestone Warrant has an exercise price of $[●] per share of Common Stock and (iii) Five-Year Milestone Warrant has an exercise price of $[●] per share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confirms its agreement with the several Underwriters concerning the purchase and sale of the Securities,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 including a prospectus, relating to the Securities and the Warrant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Securities.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Applicable Time (as defined below), the Company had prepared the following information (collectively with the pricing information set forth on Annex A, the “Pricing Disclosure Package”): a Preliminary Prospectus dated [●], 2026, and each “free-writing prospectus” (as defined pursuant to Rule 405 under the Securities Act) listed on Annex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Applicable Time” means [●] [A/P].M., New York City time, on [●], 2026.</w:t>
      </w:r>
    </w:p>
    <w:p>
      <w:pPr>
        <w:pStyle w:val="TextBody"/>
        <w:bidi w:val="0"/>
        <w:spacing w:before="0" w:after="0"/>
        <w:ind w:left="0" w:right="0" w:hanging="0"/>
        <w:jc w:val="left"/>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170"/>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2525" w:type="dxa"/>
            <w:tcBorders/>
            <w:vAlign w:val="center"/>
          </w:tcPr>
          <w:p>
            <w:pPr>
              <w:pStyle w:val="TableContents"/>
              <w:bidi w:val="0"/>
              <w:spacing w:before="0" w:after="283"/>
              <w:jc w:val="both"/>
              <w:rPr/>
            </w:pPr>
            <w:r>
              <w:rPr>
                <w:u w:val="single"/>
              </w:rPr>
              <w:t>Purchase of the Securities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basis of the representations and warranties herein contained and subject to the terms and conditions herein set forth, the Company agrees to sell to the several Underwriters, and the Underwriters agree to purchase from the Company, at the combined purchase price for one share of Common Stock and accompanying Two-Year Milestone Warrant to purchase one share of Common Stock (or a Pre-Funded Warrant in lieu thereof) and accompanying Five-Year Milestone Warrant to purchase one share of Common Stock (or a Pre-Funded Warrant in lieu thereof) of $[●], or the combined purchase price for a Pre-Funded Warrant to purchase one share of Common Stock and accompanying Two-Year Milestone Warrant to purchase one share of Common Stock (or a Pre-Funded Warrant in lieu thereof) and accompanying Five-Year Milestone Warrant to purchase one share of Common Stock (or a Pre-Funded Warrant in lieu thereof) of $[●], the number of Firm Securities set for the opposite such Underwriter’s name on Schedule 1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grants to the Representative an option to purchase up to any combination of [●] Option Shares at a purchase price per share of $[●] and/or Option Pre-Funded Warrants to purchase [●] shares of Common Stock at a purchase price per warrant of $[●], representing in aggregate up to 15% of the sum of the Firm Shares (for the avoidance of doubt, the maximum number of Option Shares and Pre-Funded Option Warrants that may be purchased in the aggregate pursuant to this option is [●]) and/or Two-Year Milestone Option Warrants to purchase [●] shares of Common Stock (or a Pre-Funded Warrant in lieu thereof) and/or [●] Five-Year Milestone Option Warrants to purchase [●] shares of Common Stock (or a Pre-Funded Warrant in lieu thereof), at a purchase price per Option Common Warrant of $0.000001. If any Option Securities are to be purchased, the number of Option Securities to be purchased by each Underwriter shall be the number of Option Securities which bears the same ratio to the aggregate number of Option Securities being purchased as the number of Firm Securities set forth opposite the name of such Underwriter in Schedule 1 hereto (or such number increased as set forth in Section 10 hereof) bears to the aggregate number of Firm Securities being purchased from the Company by the several Underwriters, subject, however, to such adjustments to eliminate any fractional Shares as the Representative in its sole discretion shall make.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Representative may exercise the option to purchase the Option Securities at any time in whole, or from time to time in part, on or before the thirtieth (30th) day following the date of the Prospectus, by written notice from the Representative to the Company. Such notice shall set forth the aggregate number and type of Option Securities as to which the option is being exercised and the date and time when the applicable Option Securities are to be delivered and paid for, which may be the same date and time as the Closing Date (as hereinafter defined) but shall not be earlier than the Closing Date nor later than the tenth (10th) full business day (as hereinafter defined) after the date of such notice. Any such notice shall be given at least two business days prior to the date and time of delivery specified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date and time of delivery are the same as the Closing Date, such notice may be given one business day prior to such date and time of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understands that the Underwriters intend to make a public offering of the Securities, and initially to offer the Securities on the terms set forth in the Pricing Disclosure Package. The Company acknowledges and agrees that the Underwriters may offer and sell Securities to or through any affiliate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Payment for the Securities shall be made by wire transfer in immediately available funds to the account specified by the Company to the Representative in the case of the Firm Securities, at the offices of Faegre Drinker Biddle &amp; Reath LLP, counsel for the Underwriter, at 2200 Wells Fargo Center 90 S. Seventh Street, Minneapolis, Minnesota 55402 at 10:00 A.M. New York City time on [●], 2026, or at such other time or place on the same or such other date, not later than the fifth (5th) business day thereafter, as the Underwriter and the Company may agree upon in writing, or, in the case of the Option Securities, on the date and at the time and place specified by the Representative in the written notice of the Representative’s election to purchase such Option Securities. The time and date of such payment for the Firm Securities is referred to herein as the “Closing Date,” and the time and date for such payment for the Option Securities, if other than the Closing Date, is herein referred to as the “Additional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Payment for the Securities to be purchased on the Closing Date or the Additional Closing Date, as the case may be, shall be made against delivery to the Representative for the respective accounts of the several Underwriters of the Securities to be purchased on such date or the Additional Closing Date, as the case may be, with any transfer taxes payable in connection with the sale of such Securities duly paid by the Company. Delivery of the Shares shall be made through the facilities of The Depository Trust Company (“DTC”) unless the Representative shall otherwise instruct. The certificates for the Shares will be made available for inspection and packaging by the Representative at the office of DTC or its designated custodian not later than 1:00 P.M., New York City time, on the business day prior to the Closing Date or the Additional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shall be delivered to the Representative for the respective accounts of the several Underwriters in definitive form, registered in such names and in such denominations as the Representative shall request in writing not later than the applicable Closing Time. The Warrants will be made available for inspection by the Representative on the business day prior to the Closing Date or the Additional Closing Date, as the case may be, and the Company shall deliver such Warrants to such purchasers on such date in definitive paper form against such payment, in lieu of the Company’s obligation to deliver such Warrants to the Representative for the respective accounts of the several Underwriters. The Company acknowledges and agrees that each Underwriter is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the Underwriters are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not have any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20"/>
              </w:rPr>
            </w:pPr>
            <w:r>
              <w:rPr>
                <w:sz w:val="20"/>
              </w:rPr>
              <w:t>3.</w:t>
            </w:r>
          </w:p>
        </w:tc>
        <w:tc>
          <w:tcPr>
            <w:tcW w:w="10001" w:type="dxa"/>
            <w:tcBorders/>
            <w:vAlign w:val="center"/>
          </w:tcPr>
          <w:p>
            <w:pPr>
              <w:pStyle w:val="TableContents"/>
              <w:bidi w:val="0"/>
              <w:spacing w:before="0" w:after="283"/>
              <w:jc w:val="both"/>
              <w:rPr/>
            </w:pPr>
            <w:r>
              <w:rPr>
                <w:u w:val="single"/>
              </w:rPr>
              <w:t>Representations and Warranties of the Company</w:t>
            </w:r>
            <w:r>
              <w:rPr/>
              <w:t>. The Company represents and warrants to each Underwriter that: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Preliminary Prospectus.</w:t>
      </w:r>
      <w:r>
        <w:rPr>
          <w:rFonts w:ascii="Times New Roman;Times;Serif" w:hAnsi="Times New Roman;Times;Serif"/>
          <w:b w:val="false"/>
          <w:i w:val="false"/>
          <w:caps w:val="false"/>
          <w:smallCaps w:val="false"/>
          <w:sz w:val="20"/>
        </w:rPr>
        <w:t xml:space="preserve"> 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furnished to the Company in writing by the Representative expressly for use in any Preliminary Prospectus, it being understood and agreed that the only such information furnished by the Representative consists of the information described as such in Section 7(b)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Pricing Disclosure Package</w:t>
      </w:r>
      <w:r>
        <w:rPr>
          <w:rFonts w:ascii="Times New Roman;Times;Serif" w:hAnsi="Times New Roman;Times;Serif"/>
          <w:b w:val="false"/>
          <w:i w:val="false"/>
          <w:caps w:val="false"/>
          <w:smallCaps w:val="false"/>
          <w:sz w:val="20"/>
        </w:rPr>
        <w:t xml:space="preserve">. The Pricing Disclosure Package as of the Applicable Time did not, and as of the Closing Date or the Applicable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any Underwriter furnished to the Company in writing by the Representative expressly for use in such Pricing Disclosure Package, it being understood and agreed that the only such information furnished by the Representative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 xml:space="preserve">Issuer Free Writing Prospectus. </w:t>
      </w:r>
      <w:r>
        <w:rPr>
          <w:rFonts w:ascii="Times New Roman;Times;Serif" w:hAnsi="Times New Roman;Times;Serif"/>
          <w:b w:val="false"/>
          <w:i w:val="false"/>
          <w:caps w:val="false"/>
          <w:smallCaps w:val="false"/>
          <w:sz w:val="20"/>
        </w:rPr>
        <w:t xml:space="preserve">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or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each such Issuer Free Writing Prospectus or Preliminary Prospectus in reliance upon and in conformity with information relating to the Underwriters furnished to the Company in writing by the Representative expressly for use in such Issuer Free Writing Prospectus or Preliminary Prospectus, it being understood and agreed that the only such information furnished by the Representative consists of the information described as such in Section 7(b)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 xml:space="preserve">Testing-the-Waters Materials. </w:t>
      </w:r>
      <w:r>
        <w:rPr>
          <w:rFonts w:ascii="Times New Roman;Times;Serif" w:hAnsi="Times New Roman;Times;Serif"/>
          <w:b w:val="false"/>
          <w:i w:val="false"/>
          <w:caps w:val="false"/>
          <w:smallCaps w:val="false"/>
          <w:sz w:val="20"/>
        </w:rPr>
        <w:t>The Company (i) has not alone engaged in any Testing-the-Waters Communications other than Testing-the-Waters Communications with the consent of the Representative (x) with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 (y) with entities that the Company reasonably believed to be QIBs or IAIs and otherwise in compliance with the requirements of Rule 163B under the Securities Act and (ii) has not authorized anyone other than the Underwriters to engage in Testing-the-Waters Communications. The Company reconfirms that the Underwriters have been authorized to act on its behalf in undertaking Testing-the-Waters Communications by virtue of a writing substantially in the form of Exhibit A hereto. The Company has not distributed or approved for distribution any Written Testing-the-Waters Communications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or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Registration Statement and Prospectus.</w:t>
      </w:r>
      <w:r>
        <w:rPr>
          <w:rFonts w:ascii="Times New Roman;Times;Serif" w:hAnsi="Times New Roman;Times;Serif"/>
          <w:b w:val="false"/>
          <w:i w:val="false"/>
          <w:caps w:val="false"/>
          <w:smallCaps w:val="false"/>
          <w:sz w:val="20"/>
        </w:rPr>
        <w:t xml:space="preserve"> The Registration Statement has been declared effective by 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makes no representation or warranty with respect to any statements or omissions made in reliance upon and in conformity with information relating to the Underwriters furnished to the Company in writing by the Representative expressly for use in the Registration Statement and the Prospectus and any amendment or supplement thereto, it being understood and agreed that the only such information furnished by the Representative consists of the information described as such in Section 7(b)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Financial Statements.</w:t>
      </w:r>
      <w:r>
        <w:rPr>
          <w:rFonts w:ascii="Times New Roman;Times;Serif" w:hAnsi="Times New Roman;Times;Serif"/>
          <w:b w:val="false"/>
          <w:i w:val="false"/>
          <w:caps w:val="false"/>
          <w:smallCaps w:val="false"/>
          <w:sz w:val="20"/>
        </w:rPr>
        <w:t xml:space="preserve"> The financial statements (including the related notes thereto) of the Company and its subsidiary incorporated by reference into the Registration Statement, the Pricing Disclosure Package and the Prospectus comply in all material respects with the applicable requirements of the Securities Act and present fairly the financial position of the Company and its subsidiary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and any supporting schedules incorporated by reference into the Registration Statement present fairly the information required to be stated therein; the other financial information incorporated by reference into the Registration Statement, the Pricing Disclosure Package and the Prospectus has been derived from the accounting records of the Company and its subsidiary and presents fairly the information shown thereby; all disclosures incorporated by reference into the Registration Statement, the Pricing Disclosure Package and the Prospectus regarding “non-GAAP financial measures” (as such term is defined by the rules and regulations of the Commission) comply with Regulation G of the Exchange Act and Item 10 of Regulation S-K of the Securities Act, to the extent applicable; and the pro forma financial information and the related notes thereto, if any, incorporated by reference into the Registration Statement, the Pricing Disclosure Package and the Prospectus have been prepared in accordance with the applicable requirements of the Securities Act and the assumptions underlying such pro forma financial information are reasonable and are set forth in the Registration Statement, the Pricing Disclosure Package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Since the date of the most recent financial statements of the Company incorporated by reference into the Registration Statement, the Pricing Disclosure Package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or long-term debt of the Company or its subsidiary,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or results of operations of the Company and its subsidiary taken as a whole; (ii) neither the Company nor its subsidiary has entered into any transaction or agreement (whether or not in the ordinary course of business) that is material to the Company and its subsidiary taken as a whole or incurred any liability or obligation, direct or contingent, that is material to the Company and its subsidiary taken as a whole; and (iii) neither the Company nor its subsidiary has sustained any loss or interference with its business that is material to the Company and its subsidiary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Organization and Good Standing.</w:t>
      </w:r>
      <w:r>
        <w:rPr>
          <w:rFonts w:ascii="Times New Roman;Times;Serif" w:hAnsi="Times New Roman;Times;Serif"/>
          <w:b w:val="false"/>
          <w:i w:val="false"/>
          <w:caps w:val="false"/>
          <w:smallCaps w:val="false"/>
          <w:sz w:val="20"/>
        </w:rPr>
        <w:t xml:space="preserve"> The Company and its subsidiary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result in a material adverse effect on the business, properties, management, financial position, stockholders’ equity, or results of operations of the Company and its subsidiary taken as a whole or on the performance by the Company of its obligations under this Agreement (a “Material Adverse Effect”); provided that a change in the market price or trading volume of the Common Stock alone shall not, in and of itself, constitute a Material Adverse Effect, and adverse effects resulting solely from or relating solely to the following shall not be taken into account in determining whether a Material Adverse Effect has occurred, except, in the case of clauses (A), (B) and (D) below, to the extent the impact on the Company and its subsidiary, taken as a whole, is materially disproportionate to the impact on other companies operating in the same industry: (A) general economic conditions or conditions in financial, banking or securities markets; (B) general conditions in the industry or industry sectors in which the Company operates; (C) natural disasters, national or international political or social conditions, acts of terrorism, sabotage, military action or war, or any escalation or worsening thereof; or (D) changes in applicable laws, governmental regulations or interpretations thereof. The Company does not own or control, directly or indirectly, any corporation, association or other entity other than the subsidiary listed in Exhibit 21.1 to the Registration Statement. The subsidiary listed in Schedule 2 to this Agreement is the only significant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xml:space="preserve"> The Company has an authorized capitalization as set forth in the Registration Statement, the Pricing Disclosure Package and the Prospectus under the heading “Capitalization”; all the outstanding shares of capital stock of the Company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its subsidiary,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 xml:space="preserve">Stock Options. </w:t>
      </w:r>
      <w:r>
        <w:rPr>
          <w:rFonts w:ascii="Times New Roman;Times;Serif" w:hAnsi="Times New Roman;Times;Serif"/>
          <w:b w:val="false"/>
          <w:i w:val="false"/>
          <w:caps w:val="false"/>
          <w:smallCaps w:val="false"/>
          <w:sz w:val="20"/>
        </w:rPr>
        <w:t>With respect to the stock options (the “Stock Options”) granted pursuant to the stock-based compensation plans of the Company and its subsidiary (the “Company Stock Plans”), (i) each Stock Option intended to qualify as an “incentive stock option” under Section 422 of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NYSE American LLC (“NYSE American”) and any other exchange on which Company securities are traded, and (iv)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subsidiary or their results of operations.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Due Authorization.</w:t>
      </w:r>
      <w:r>
        <w:rPr>
          <w:rFonts w:ascii="Times New Roman;Times;Serif" w:hAnsi="Times New Roman;Times;Serif"/>
          <w:b w:val="false"/>
          <w:i w:val="false"/>
          <w:caps w:val="false"/>
          <w:smallCaps w:val="false"/>
          <w:sz w:val="20"/>
        </w:rPr>
        <w:t xml:space="preserve">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Underwriting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 xml:space="preserve">The Securities. </w:t>
      </w:r>
      <w:r>
        <w:rPr>
          <w:rFonts w:ascii="Times New Roman;Times;Serif" w:hAnsi="Times New Roman;Times;Serif"/>
          <w:b w:val="false"/>
          <w:i w:val="false"/>
          <w:caps w:val="false"/>
          <w:smallCaps w:val="false"/>
          <w:sz w:val="20"/>
        </w:rPr>
        <w:t>The Securities to be issued and sold by the Company hereunder have been duly authorized by the Company and, when issued and delivered and paid for as provided herein, the Shares will be duly and validly issued, will be fully paid and nonassessable, and will conform to the description thereof in the Registration Statement, the Pricing Disclosure Package and the Prospectus; and the issuance of the Shares is not subject to any preemptive or similar rights. The Warrants, when issued, paid for and delivered as provided herein, will be duly and validly issued, and will conform to the descriptions thereof in the Registration Statement, the Pricing Disclosure Package and the Prospectus; and the issuance of the Warrants is not subject to any preemptive or similar rights. The Warrant Shares have been duly authorized and validly reserved for issuance upon exercise of the Warrants in a number sufficient to meet the current exercise requirements and, when issued and delivered upon exercise of the applicable Warrant in accordance with the terms thereof, will be validly issued, fully paid and nonassessable.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Description of the Underwriting Agreement.</w:t>
      </w:r>
      <w:r>
        <w:rPr>
          <w:rFonts w:ascii="Times New Roman;Times;Serif" w:hAnsi="Times New Roman;Times;Serif"/>
          <w:b w:val="false"/>
          <w:i w:val="false"/>
          <w:caps w:val="false"/>
          <w:smallCaps w:val="false"/>
          <w:sz w:val="20"/>
        </w:rPr>
        <w:t xml:space="preserve"> This Agreement conforms in all material respects to the description thereof contained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caps w:val="false"/>
          <w:smallCaps w:val="false"/>
          <w:sz w:val="20"/>
        </w:rPr>
        <w:t>No Violation or Default.</w:t>
      </w:r>
      <w:r>
        <w:rPr>
          <w:rFonts w:ascii="Times New Roman;Times;Serif" w:hAnsi="Times New Roman;Times;Serif"/>
          <w:b w:val="false"/>
          <w:i w:val="false"/>
          <w:caps w:val="false"/>
          <w:smallCaps w:val="false"/>
          <w:sz w:val="20"/>
        </w:rPr>
        <w:t xml:space="preserve"> Neither the Company nor its subsidiary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its subsidiary is a party or by which the Company or its subsidiary is bound or to which any property or asset of the Company or its subsidiary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caps w:val="false"/>
          <w:smallCaps w:val="false"/>
          <w:sz w:val="20"/>
        </w:rPr>
        <w:t xml:space="preserve">No Conflicts. </w:t>
      </w:r>
      <w:r>
        <w:rPr>
          <w:rFonts w:ascii="Times New Roman;Times;Serif" w:hAnsi="Times New Roman;Times;Serif"/>
          <w:b w:val="false"/>
          <w:i w:val="false"/>
          <w:caps w:val="false"/>
          <w:smallCaps w:val="false"/>
          <w:sz w:val="20"/>
        </w:rPr>
        <w:t>The execution, delivery and performance by the Company of this Agreement and the Warrants, the issuance and sale of the Shares and the Warrants and the consummation of the transactions contemplated by this Agreement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its subsidiary pursuant to, any indenture, mortgage, deed of trust, loan agreement or other agreement or instrument to which the Company or its subsidiary is a party or by which the Company or its subsidiary is bound or to which any property, right or asset of the Company or its subsidiary is subject, (ii) result in any violation of the provisions of the charter or by-laws or similar organizational documents of the Company or its subsidiary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caps w:val="false"/>
          <w:smallCaps w:val="false"/>
          <w:sz w:val="20"/>
        </w:rPr>
        <w:t>No Consents Required.</w:t>
      </w:r>
      <w:r>
        <w:rPr>
          <w:rFonts w:ascii="Times New Roman;Times;Serif" w:hAnsi="Times New Roman;Times;Serif"/>
          <w:b w:val="false"/>
          <w:i w:val="false"/>
          <w:caps w:val="false"/>
          <w:smallCaps w:val="false"/>
          <w:sz w:val="20"/>
        </w:rPr>
        <w:t xml:space="preserve"> No consent, approval, authorization, order, registration or qualification of or with any court or arbitrator or governmental or regulatory authority is required for the execution, delivery and performance by the Company of this Agreement, the issuance and sale of the Securities and the consummation of the transactions contemplated by this Agreement, except for the registration of the Shares and the Warrants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Securities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caps w:val="false"/>
          <w:smallCaps w:val="false"/>
          <w:sz w:val="20"/>
        </w:rPr>
        <w:t>Legal Proceedings.</w:t>
      </w:r>
      <w:r>
        <w:rPr>
          <w:rFonts w:ascii="Times New Roman;Times;Serif" w:hAnsi="Times New Roman;Times;Serif"/>
          <w:b w:val="false"/>
          <w:i w:val="false"/>
          <w:caps w:val="false"/>
          <w:smallCaps w:val="false"/>
          <w:sz w:val="20"/>
        </w:rPr>
        <w:t xml:space="preserve"> Except as described in the Registration Statement, the Pricing Disclosure Package and the Prospectus, there are no legal, governmental or regulatory investigations, actions, demands, claims, suits, arbitrations, inquiries or proceedings (“Actions”) pending to which the Company or its subsidiary is or may be a party or to which any property of the Company or its subsidiary is or may be the subject that, individually or in the aggregate, if determined adversely to the Company or its subsidiary, would reasonably be expected to result in a Material Adverse Effect; no such Actions are threatened or, to the knowledge of the Company,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caps w:val="false"/>
          <w:smallCaps w:val="false"/>
          <w:sz w:val="20"/>
        </w:rPr>
        <w:t>Independent Accountants</w:t>
      </w:r>
      <w:r>
        <w:rPr>
          <w:rFonts w:ascii="Times New Roman;Times;Serif" w:hAnsi="Times New Roman;Times;Serif"/>
          <w:b w:val="false"/>
          <w:i w:val="false"/>
          <w:caps w:val="false"/>
          <w:smallCaps w:val="false"/>
          <w:sz w:val="20"/>
        </w:rPr>
        <w:t>. KPMG LLP (the “Accountant”) is the independent registered public accounting firm with respect to the Company and its subsidiary within the applicable rules and regulations adopted by the Commission and the Public Company Accounting Oversight Board (United States) and as required by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caps w:val="false"/>
          <w:smallCaps w:val="false"/>
          <w:sz w:val="20"/>
        </w:rPr>
        <w:t>Title to Real and Personal Property</w:t>
      </w:r>
      <w:r>
        <w:rPr>
          <w:rFonts w:ascii="Times New Roman;Times;Serif" w:hAnsi="Times New Roman;Times;Serif"/>
          <w:b w:val="false"/>
          <w:i w:val="false"/>
          <w:caps w:val="false"/>
          <w:smallCaps w:val="false"/>
          <w:sz w:val="20"/>
        </w:rPr>
        <w:t>. The Company and its subsidiary have good and marketable title in fee simple to, or have valid rights to lease or otherwise use, all items of real and personal property that are material to the respective businesses of the Company and its subsidiary, in each case free and clear of all liens, encumbrances, claims and defects and imperfections of title except those that (i) do not materially interfere with the use made and proposed to be made of such property by the Company and its subsidiary or (ii) would not reasonably be expected, individually or in the aggregate,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xml:space="preserve"> The Company and its subsidiary own, possess, license or otherwise have rights to use the patents, patent applications, copyrights, trademarks, service marks, trade names, trade secrets, know-how and other intellectual property rights that are material to the conduct of their businesses as currently conducted and as described in the Registration Statement, the Pricing Disclosure Package and the Prospectus (collectively, the “Intellectual Property Rights”). Except as described in the Registration Statement, the Pricing Disclosure Package and the Prospectus, (i) there is no pending or, to the Company’s knowledge, threatened action, suit, proceeding or claim alleging that the conduct of the business of the Company or its subsidiary as currently conducted infringes, misappropriates or otherwise violates any Intellectual Property Rights of any person; (ii) to the Company’s knowledge, no person is infringing, misappropriating or otherwise violating any Intellectual Property Rights owned by or exclusively licensed to the Company or its subsidiary in a manner that would reasonably be expected to result in a Material Adverse Effect; (iii) all material agreements pursuant to which Intellectual Property Rights are licensed to the Company or its subsidiary are in full force and effect, and neither the Company nor its subsidiary has received written notice of any material breach or default by it thereunder that has not been cured or waived; (iv) there is no pending or, to the Company’s knowledge, threatened action, suit, proceeding or claim by any third party challenging the validity, ownership or enforceability of any Intellectual Property Rights owned by or exclusively licensed to the Company or its subsidiary that are material to the conduct of their businesses as currently conducted; and (v) the Company and its subsidiary have taken commercially reasonable measures to protect the secrecy and confidentiality of material trade secrets and other material confidential Intellectual Property Rights, except where the failure to do so would not, individually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No Undisclosed Relationships</w:t>
      </w:r>
      <w:r>
        <w:rPr>
          <w:rFonts w:ascii="Times New Roman;Times;Serif" w:hAnsi="Times New Roman;Times;Serif"/>
          <w:b w:val="false"/>
          <w:i w:val="false"/>
          <w:caps w:val="false"/>
          <w:smallCaps w:val="false"/>
          <w:sz w:val="20"/>
        </w:rPr>
        <w:t>. No relationship, direct or indirect, exists between or among the Company or its subsidiary on the one hand, and the directors, officers, stockholders, customers, suppliers or other affiliates of the Company or its subsidiary, on the other, that is required by the Securities Act to be described in each of the Registration Statement and the Prospectus and that is not so described in such documents and in the Pricing Disclosure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The Company is not and, after giving effect to the offering and sale of the Securities, and the issuance of the Warrant Shares upon due exercise of the Warrants and the application of the proceeds thereof as described in the Registration Statement, the Pricing Disclosure Package and the Prospectus, will not be required to register as an “investment company” within the meaning of the Investment Company Act of 1940, as amended, and the rules and regulations of the Commission thereunder (collectively,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The Company and its subsidiary have paid all federal, state, local and foreign taxes and filed all tax returns required to be paid or filed through the date hereof, except for such taxes, if any as are being contested in good faith and as to which adequate reserves have been established by the Company and except where the failure to file would not reasonably be expected to result in a Material Adverse Effect; and except as otherwise disclosed in each of the Registration Statement, the Pricing Disclosure Package and the Prospectus, there is no tax deficiency that has been, or could reasonably be expected to be, asserted against the Company or its subsidiary or any of their respective properties or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caps w:val="false"/>
          <w:smallCaps w:val="false"/>
          <w:sz w:val="20"/>
        </w:rPr>
        <w:t>Licenses and Permits.</w:t>
      </w:r>
      <w:r>
        <w:rPr>
          <w:rFonts w:ascii="Times New Roman;Times;Serif" w:hAnsi="Times New Roman;Times;Serif"/>
          <w:b w:val="false"/>
          <w:i w:val="false"/>
          <w:caps w:val="false"/>
          <w:smallCaps w:val="false"/>
          <w:sz w:val="20"/>
        </w:rPr>
        <w:t xml:space="preserve"> The Company and its subsidiary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reasonably be expected to result in a Material Adverse Effect; and except as described in each of the Registration Statement, the Pricing Disclosure Package and the Prospectus, neither the Company nor its subsidiary has received notice of any revocation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would not, individually or in the aggregate, reasonably be expected to result in a Material Adverse Effect. The Company and its subsidiary (i) are in compliance with all statutes, rules and regulations applicable to their businesses (“Applicable Laws”), except where such noncompliance would not, singly or in the aggregate, reasonably be expected to result in a Material Adverse Effect; and (ii) have not received written notice of adverse finding, warning letter, untitled letter or other correspondence or written notice from any court, arbitrator or governmental or regulatory authority alleging or asserting noncompliance with any Applicable Laws or any licenses required by any such Applicable Laws, except where such noncompliance would not, singly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No Labor Disputes.</w:t>
      </w:r>
      <w:r>
        <w:rPr>
          <w:rFonts w:ascii="Times New Roman;Times;Serif" w:hAnsi="Times New Roman;Times;Serif"/>
          <w:b w:val="false"/>
          <w:i w:val="false"/>
          <w:caps w:val="false"/>
          <w:smallCaps w:val="false"/>
          <w:sz w:val="20"/>
        </w:rPr>
        <w:t xml:space="preserve"> No labor disturbance by or dispute with employees of the Company or its subsidiary exists or, to the knowledge of the Company, is contemplated or threatened, and the Company is not aware of any existing or imminent labor disturbance by, or dispute with, the employees of any of its or its subsidiary’s principal suppliers, contractors or customers, except as would not reasonably be expected to result in a Material Adverse Effect. Neither the Company nor its subsidiary has received any notice of cancellation or termination with respect to any collective bargaining agreement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caps w:val="false"/>
          <w:smallCaps w:val="false"/>
          <w:sz w:val="20"/>
        </w:rPr>
        <w:t>Certain Environmental Matters</w:t>
      </w:r>
      <w:r>
        <w:rPr>
          <w:rFonts w:ascii="Times New Roman;Times;Serif" w:hAnsi="Times New Roman;Times;Serif"/>
          <w:b w:val="false"/>
          <w:i w:val="false"/>
          <w:caps w:val="false"/>
          <w:smallCaps w:val="false"/>
          <w:sz w:val="20"/>
        </w:rPr>
        <w:t>. (i) The Company and its subsidiary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or its subsidiary, except in the case of each of (i) and (ii) above, for any such matter as would not, individually or in the aggregate, reasonably be expected to result in a Material Adverse Effect; and (iii) except as described in each of the Pricing Disclosure Package and the Prospectus, (x) there is no proceeding that is pending, or that is known to be contemplated, against the Company or its subsidiary under any Environmental Laws in which a governmental entity is also a party, other than such proceeding regarding which it is reasonably believed no monetary sanctions of $100,000 or more will be imposed, (y) the Company and its subsidiary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subsidiary, and (z) none of the Company or its subsidiary anticipates material capital expenditures relating to any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caps w:val="false"/>
          <w:smallCaps w:val="false"/>
          <w:sz w:val="20"/>
        </w:rPr>
        <w:t>Compliance with ERISA</w:t>
      </w:r>
      <w:r>
        <w:rPr>
          <w:rFonts w:ascii="Times New Roman;Times;Serif" w:hAnsi="Times New Roman;Times;Serif"/>
          <w:b w:val="false"/>
          <w:i w:val="false"/>
          <w:caps w:val="false"/>
          <w:smallCaps w:val="false"/>
          <w:sz w:val="20"/>
        </w:rPr>
        <w:t>. (i)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subsidiary’s “accumulated post-retirement benefit obligations” (within the meaning of Accounting Standards Codification Topic 715-60) compared to the amount of such obligations in the Company and its subsidiary’s’ most recently completed fiscal year, except in each case with respect to the events or conditions set forth in (i) through (ix) hereof, as would not, individually or in the aggregate,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caps w:val="false"/>
          <w:smallCaps w:val="false"/>
          <w:sz w:val="20"/>
        </w:rPr>
        <w:t>Disclosure Controls</w:t>
      </w:r>
      <w:r>
        <w:rPr>
          <w:rFonts w:ascii="Times New Roman;Times;Serif" w:hAnsi="Times New Roman;Times;Serif"/>
          <w:b w:val="false"/>
          <w:i w:val="false"/>
          <w:caps w:val="false"/>
          <w:smallCaps w:val="false"/>
          <w:sz w:val="20"/>
        </w:rPr>
        <w:t>. The Company and its subsidiary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subsidiary have carried out evaluations of the effectiveness of their disclosure controls and procedures as required by Rule 13a-15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caps w:val="false"/>
          <w:smallCaps w:val="false"/>
          <w:sz w:val="20"/>
        </w:rPr>
        <w:t>Accounting Controls.</w:t>
      </w:r>
      <w:r>
        <w:rPr>
          <w:rFonts w:ascii="Times New Roman;Times;Serif" w:hAnsi="Times New Roman;Times;Serif"/>
          <w:b w:val="false"/>
          <w:i w:val="false"/>
          <w:caps w:val="false"/>
          <w:smallCaps w:val="false"/>
          <w:sz w:val="20"/>
        </w:rPr>
        <w:t xml:space="preserve"> The Company and its subsidiary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subsidiary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caps w:val="false"/>
          <w:smallCaps w:val="false"/>
          <w:sz w:val="20"/>
        </w:rPr>
        <w:t xml:space="preserve">Insurance. </w:t>
      </w:r>
      <w:r>
        <w:rPr>
          <w:rFonts w:ascii="Times New Roman;Times;Serif" w:hAnsi="Times New Roman;Times;Serif"/>
          <w:b w:val="false"/>
          <w:i w:val="false"/>
          <w:caps w:val="false"/>
          <w:smallCaps w:val="false"/>
          <w:sz w:val="20"/>
        </w:rPr>
        <w:t>The Company carries or is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caps w:val="false"/>
          <w:smallCaps w:val="false"/>
          <w:sz w:val="20"/>
        </w:rPr>
        <w:t xml:space="preserve">Cybersecurity; Data Protection. </w:t>
      </w:r>
      <w:r>
        <w:rPr>
          <w:rFonts w:ascii="Times New Roman;Times;Serif" w:hAnsi="Times New Roman;Times;Serif"/>
          <w:b w:val="false"/>
          <w:i w:val="false"/>
          <w:caps w:val="false"/>
          <w:smallCaps w:val="false"/>
          <w:sz w:val="20"/>
        </w:rPr>
        <w:t>The Company’s and its subsidiary’s information technology assets and equipment, computers, systems, networks, hardware, software, websites, applications, technology, data and databases (collectively, “IT Systems and Data”) are adequate for, and operate and perform in all material respects as required in connection with, the operation of the businesses of the Company and its subsidiary as currently conducted. The Company and its subsidiary have implemented commercially reasonable controls, policies, procedures and safeguards designed to maintain and protect the confidentiality, integrity and security of their IT Systems and Data. There has been no material security breach or other material compromise of the IT Systems and Data, and neither the Company nor its subsidiary has been notified of, or has knowledge of any event or condition that would reasonably be expected to result in, any such material security breach or compromise. Except as would not, individually or in the aggregate, reasonably be expected to result in a Material Adverse Effect, the Company and its subsidiary have complied and are presently in compliance in all material respects with applicable laws, statutes, judgments, orders, rules and regulations of any governmental or regulatory authority and their material contractual obligations relating to the privacy and security of IT Systems and Data and the protection of such IT Systems and Data from unauthorized use, access, misappropriation or modification, in each case to the extent applicable to their businesses. The Company and its subsidiary have implemented commercially reasonable backup and disaster recovery procedures for their IT Systems and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caps w:val="false"/>
          <w:smallCaps w:val="false"/>
          <w:sz w:val="20"/>
        </w:rPr>
        <w:t xml:space="preserve">Clinical Data and Regulatory Compliance. </w:t>
      </w:r>
      <w:r>
        <w:rPr>
          <w:rFonts w:ascii="Times New Roman;Times;Serif" w:hAnsi="Times New Roman;Times;Serif"/>
          <w:b w:val="false"/>
          <w:i w:val="false"/>
          <w:caps w:val="false"/>
          <w:smallCaps w:val="false"/>
          <w:sz w:val="20"/>
        </w:rPr>
        <w:t>The preclinical tests, clinical trials and other studies (collectively, “studies”) that are described in, or the results of which are referred to in, the Registration Statement, the Pricing Disclosure Package and the Prospectus and that were conducted by the Company or, to the Company’s knowledge, on its behalf were and, if still pending, are being conducted in all material respects in accordance with the protocols, procedures and controls designed and approved for such studies and with applicable standard medical and scientific research procedures. Each description of the results of such studies in the Registration Statement, the Pricing Disclosure Package and the Prospectus is accurate and complete in all material respects and fairly presents the data derived from such studies, and neither the Company nor its subsidiary has knowledge of any other studies the results of which are materially inconsistent with, or otherwise materially call into question, the results so described or referred to. Neither the Company nor its subsidiary has knowledge of any research misconduct or data fraud in any study or clinical trial the results of which the Company intends to include or reference in any regulatory submission for any product. The Company has made all material filings and obtained all material approvals required to be made or obtained by it from the Food and Drug Administration of the U.S. Department of Health and Human Services or any other applicable U.S. or foreign drug regulatory agency or institutional review board (collectively, the “Regulatory Agencies”) in connection with such studies, except where the failure to make such filing or obtain such approval would not, individually or in the aggregate, reasonably be expected to result in a Material Adverse Effect. The Company has not received any notice or correspondence from any Regulatory Agency requiring the termination or suspension of any clinical trial that is described or referred to in the Registration Statement, the Pricing Disclosure Package and the Prospectus, and the Company is in compliance in all material respects with applicable rules, regulations and policies of the Regulatory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caps w:val="false"/>
          <w:smallCaps w:val="false"/>
          <w:sz w:val="20"/>
        </w:rPr>
        <w:t>Compliance with Health Care Laws</w:t>
      </w:r>
      <w:r>
        <w:rPr>
          <w:rFonts w:ascii="Times New Roman;Times;Serif" w:hAnsi="Times New Roman;Times;Serif"/>
          <w:b w:val="false"/>
          <w:i w:val="false"/>
          <w:caps w:val="false"/>
          <w:smallCaps w:val="false"/>
          <w:sz w:val="20"/>
        </w:rPr>
        <w:t>. Except in each case as would not, individually or in the aggregate, have or reasonably be expected to result in a Material Adverse Effect: (i) during the past three years, neither the Company nor its subsidiary has been in violation of any applicable Health Care Laws; (ii), there are no civil, criminal, administrative or regulatory proceedings pending or, to the Company’s knowledge, threatened against the Company, its subsidiary or any of their respective directors, officers or, to the Company’s knowledge, employees that involve allegations of material noncompliance with any Health Care Laws; and (iii) during the past three years, neither the Company nor its subsidiary has received any written adverse notice from any governmental or regulatory authority alleging material noncompliance with any Health Care Laws. For purposes of this Agreement, “Health Care Laws” means the Federal Food, Drug, and Cosmetic Act, the Public Health Service Act and, in each case, the regulations promulgated thereunder, and all other applicable federal, state, local and foreign health care, fraud and abuse, privacy, security, licensure, quality, safety and accreditation laws and regulations applicable to the businesses of the Company and its subsidiary. Neither the Company nor its subsidiary is a party to any corporate integrity agreement, monitoring agreement, consent decree, settlement order or similar agreement with or imposed by any governmental or regulatory authority. Neither the Company, its subsidiary nor any of their respective directors or officers, nor, to the Company’s knowledge, any employee or agent, has been excluded, suspended or debarred from participation in any U.S. federal health care program or human clinical research or is subject to any governmental inquiry, investigation or proceeding, or other similar action that would reasonably be expected to result in such exclusion, suspension or debarment.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No Unlawful Payments.</w:t>
      </w:r>
      <w:r>
        <w:rPr>
          <w:rFonts w:ascii="Times New Roman;Times;Serif" w:hAnsi="Times New Roman;Times;Serif"/>
          <w:b w:val="false"/>
          <w:i w:val="false"/>
          <w:caps w:val="false"/>
          <w:smallCaps w:val="false"/>
          <w:sz w:val="20"/>
        </w:rPr>
        <w:t xml:space="preserve"> Neither the Company nor its subsidiary, nor any director, officer or employee of the Company or its subsidiary nor, to the knowledge of the Company, any agent, affiliate or other person associated with or acting on behalf of the Company or its subsidiary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subsidiary have instituted, maintain and enforce, and will continue to maintain and enforce policies and procedures designed to promote and ensure compliance with all applicable anti-bribery and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caps w:val="false"/>
          <w:smallCaps w:val="false"/>
          <w:sz w:val="20"/>
        </w:rPr>
        <w:t>Compliance with Anti-Money Laundering Laws</w:t>
      </w:r>
      <w:r>
        <w:rPr>
          <w:rFonts w:ascii="Times New Roman;Times;Serif" w:hAnsi="Times New Roman;Times;Serif"/>
          <w:b w:val="false"/>
          <w:i w:val="false"/>
          <w:caps w:val="false"/>
          <w:smallCaps w:val="false"/>
          <w:sz w:val="20"/>
        </w:rPr>
        <w:t>. The operations of the Company and its subsidiary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its subsidiary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its subsidiary with respect to the Anti-Money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caps w:val="false"/>
          <w:smallCaps w:val="false"/>
          <w:sz w:val="20"/>
        </w:rPr>
        <w:t xml:space="preserve">No Conflicts with Sanctions Laws. </w:t>
      </w:r>
      <w:r>
        <w:rPr>
          <w:rFonts w:ascii="Times New Roman;Times;Serif" w:hAnsi="Times New Roman;Times;Serif"/>
          <w:b w:val="false"/>
          <w:i w:val="false"/>
          <w:caps w:val="false"/>
          <w:smallCaps w:val="false"/>
          <w:sz w:val="20"/>
        </w:rPr>
        <w:t>Neither the Company nor its subsidiary, directors, officers, or employees, nor, to the knowledge of the Company, any agent, affiliate or other person associated with or acting on behalf of the Company or its subsidiary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His Majesty’s Treasury (“HMT”) or other relevant sanctions authority (collectively, “Sanctions”), nor is the Company or its subsidiary located, organized or resident in a country or territory that is the subject or target of Sanctions, including, without limitation, Crimea, Cuba, Iran, North Korea and Syria (each, a “Sanctioned Country”);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subsidiary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caps w:val="false"/>
          <w:smallCaps w:val="false"/>
          <w:sz w:val="20"/>
        </w:rPr>
        <w:t>No Restrictions on Subsidiary</w:t>
      </w:r>
      <w:r>
        <w:rPr>
          <w:rFonts w:ascii="Times New Roman;Times;Serif" w:hAnsi="Times New Roman;Times;Serif"/>
          <w:b w:val="false"/>
          <w:i w:val="false"/>
          <w:caps w:val="false"/>
          <w:smallCaps w:val="false"/>
          <w:sz w:val="20"/>
        </w:rPr>
        <w:t>. The Company’s subsidiary is not currently prohibited, directly or indirectly, under any agreement or other instrument to which it is a party or is subject, from paying any dividends to the Company, from making any other distribution on the subsidiary’s capital stock or similar ownership interest, from repaying to the Company any loans or advances to the subsidiary from the Company or from transferring any of the subsidiary’s properties or assets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caps w:val="false"/>
          <w:smallCaps w:val="false"/>
          <w:sz w:val="20"/>
        </w:rPr>
        <w:t>No Broker’s Fees.</w:t>
      </w:r>
      <w:r>
        <w:rPr>
          <w:rFonts w:ascii="Times New Roman;Times;Serif" w:hAnsi="Times New Roman;Times;Serif"/>
          <w:b w:val="false"/>
          <w:i w:val="false"/>
          <w:caps w:val="false"/>
          <w:smallCaps w:val="false"/>
          <w:sz w:val="20"/>
        </w:rPr>
        <w:t xml:space="preserve"> Neither the Company nor its subsidiary is party to any contract, agreement or understanding with any person (other than this Agreement) that would give rise to a valid claim against any of them or the Underwriters for a brokerage commission, finder’s fee or like payment in connection with the offering and sale of the Shares and the issuance of the Warrants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caps w:val="false"/>
          <w:smallCaps w:val="false"/>
          <w:sz w:val="20"/>
        </w:rPr>
        <w:t>No Registration Rights</w:t>
      </w:r>
      <w:r>
        <w:rPr>
          <w:rFonts w:ascii="Times New Roman;Times;Serif" w:hAnsi="Times New Roman;Times;Serif"/>
          <w:b w:val="false"/>
          <w:i w:val="false"/>
          <w:caps w:val="false"/>
          <w:smallCaps w:val="false"/>
          <w:sz w:val="20"/>
        </w:rPr>
        <w:t>. No person has the right to require the Company or its subsidiary to register any securities for sale under the Securities Act by reason of the filing of the Registration Statement with the Commission or the issuance and sale of the Securities, other than those rights that have been disclosed in the Registration Statement, the Pricing Disclosure Package and the Prospectus and have been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Neither the Company nor its subsidiary or affiliates has taken, directly or indirectly, any action designed to or that could reasonably be expected to cause or result in any stabilization or manipulation of the price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caps w:val="false"/>
          <w:smallCaps w:val="false"/>
          <w:sz w:val="20"/>
        </w:rPr>
        <w:t>Margin Rules</w:t>
      </w:r>
      <w:r>
        <w:rPr>
          <w:rFonts w:ascii="Times New Roman;Times;Serif" w:hAnsi="Times New Roman;Times;Serif"/>
          <w:b w:val="false"/>
          <w:i w:val="false"/>
          <w:caps w:val="false"/>
          <w:smallCaps w:val="false"/>
          <w:sz w:val="20"/>
        </w:rPr>
        <w:t>. Neither the issuance, sale and delivery of the Securities nor the application of the proceeds thereof by the Company as described in each of the Registration Statement, the Pricing Disclosure Package and the Prospectus will violate Regulation T, U or X of the Board of Governors of the Federal Reserve System or any other regulation of such Board of Governors.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caps w:val="false"/>
          <w:smallCaps w:val="false"/>
          <w:sz w:val="20"/>
        </w:rPr>
        <w:t>Forward-Looking Statements.</w:t>
      </w:r>
      <w:r>
        <w:rPr>
          <w:rFonts w:ascii="Times New Roman;Times;Serif" w:hAnsi="Times New Roman;Times;Serif"/>
          <w:b w:val="false"/>
          <w:i w:val="false"/>
          <w:caps w:val="false"/>
          <w:smallCaps w:val="false"/>
          <w:sz w:val="20"/>
        </w:rPr>
        <w:t xml:space="preserve"> No forward-looking statement (within the meaning of Section 27A of the Securities Act and Section 21E of the Exchange Act) included or incorporated by reference in any of the Registration Statement, the Pricing Disclosure Package or the Prospectus has been made or reaffirmed without a reasonable basis or has been disclosed other than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(rr)           </w:t>
      </w:r>
      <w:r>
        <w:rPr>
          <w:rFonts w:ascii="Times New Roman;Times;Serif" w:hAnsi="Times New Roman;Times;Serif"/>
          <w:b w:val="false"/>
          <w:i/>
          <w:caps w:val="false"/>
          <w:smallCaps w:val="false"/>
          <w:sz w:val="20"/>
        </w:rPr>
        <w:t>Statistical and Market Data.</w:t>
      </w:r>
      <w:r>
        <w:rPr>
          <w:rFonts w:ascii="Times New Roman;Times;Serif" w:hAnsi="Times New Roman;Times;Serif"/>
          <w:b w:val="false"/>
          <w:i w:val="false"/>
          <w:caps w:val="false"/>
          <w:smallCaps w:val="false"/>
          <w:sz w:val="20"/>
        </w:rPr>
        <w:t xml:space="preserve"> Nothing has come to the attention of the Company that has caused the Company to believe that the statistical and market-related data incorporated by reference into the Registration Statement, the Pricing Disclosure Package and the Prospectus is not based on or derived from sources that are reliable and accurate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caps w:val="false"/>
          <w:smallCaps w:val="false"/>
          <w:sz w:val="20"/>
        </w:rPr>
        <w:t>Sarbanes-Oxley Act</w:t>
      </w:r>
      <w:r>
        <w:rPr>
          <w:rFonts w:ascii="Times New Roman;Times;Serif" w:hAnsi="Times New Roman;Times;Serif"/>
          <w:b w:val="false"/>
          <w:i w:val="false"/>
          <w:caps w:val="false"/>
          <w:smallCaps w:val="false"/>
          <w:sz w:val="20"/>
        </w:rPr>
        <w:t>. There is and has been no failure on the 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caps w:val="false"/>
          <w:smallCaps w:val="false"/>
          <w:sz w:val="20"/>
        </w:rPr>
        <w:t>Status under the Securities Act</w:t>
      </w:r>
      <w:r>
        <w:rPr>
          <w:rFonts w:ascii="Times New Roman;Times;Serif" w:hAnsi="Times New Roman;Times;Serif"/>
          <w:b w:val="false"/>
          <w:i w:val="false"/>
          <w:caps w:val="false"/>
          <w:smallCaps w:val="false"/>
          <w:sz w:val="20"/>
        </w:rPr>
        <w:t>. At the time of filing the Registration Statement and any post-effective amendment thereto, at the earliest time thereafter that the Company or any offering participant made a bona fide offer (within the meaning of Rule 164(h)(2) under the Securities Act) of the Securities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 or the Additional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caps w:val="false"/>
          <w:smallCaps w:val="false"/>
          <w:sz w:val="20"/>
        </w:rPr>
        <w:t>No Ratings</w:t>
      </w:r>
      <w:r>
        <w:rPr>
          <w:rFonts w:ascii="Times New Roman;Times;Serif" w:hAnsi="Times New Roman;Times;Serif"/>
          <w:b w:val="false"/>
          <w:i w:val="false"/>
          <w:caps w:val="false"/>
          <w:smallCaps w:val="false"/>
          <w:sz w:val="20"/>
        </w:rPr>
        <w:t>. There are (and prior to the Closing Date or the Additional Closing Date, as the case may be, will be) no debt securities, convertible securities or preferred stock issued or guaranteed by the Company or its subsidiary that are rated by a “nationally recognized statistical rating organization,” as such term is defined in Section 3(a)(62)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caps w:val="false"/>
          <w:smallCaps w:val="false"/>
          <w:sz w:val="20"/>
        </w:rPr>
        <w:t>Passive Foreign Investment Company</w:t>
      </w:r>
      <w:r>
        <w:rPr>
          <w:rFonts w:ascii="Times New Roman;Times;Serif" w:hAnsi="Times New Roman;Times;Serif"/>
          <w:b w:val="false"/>
          <w:i w:val="false"/>
          <w:caps w:val="false"/>
          <w:smallCaps w:val="false"/>
          <w:sz w:val="20"/>
        </w:rPr>
        <w:t>. The Company was not a “passive foreign investment company” (“PFIC”) as defined in Section 1297 of the Code for its most recently completed taxable year and the Company does not expect to be a PFIC for the foreseeable future.</w:t>
      </w:r>
    </w:p>
    <w:p>
      <w:pPr>
        <w:pStyle w:val="TextBody"/>
        <w:bidi w:val="0"/>
        <w:spacing w:before="0" w:after="0"/>
        <w:ind w:left="0" w:right="0" w:hanging="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4.</w:t>
            </w:r>
          </w:p>
        </w:tc>
        <w:tc>
          <w:tcPr>
            <w:tcW w:w="9665" w:type="dxa"/>
            <w:tcBorders/>
            <w:vAlign w:val="center"/>
          </w:tcPr>
          <w:p>
            <w:pPr>
              <w:pStyle w:val="TableContents"/>
              <w:bidi w:val="0"/>
              <w:spacing w:before="0" w:after="283"/>
              <w:jc w:val="both"/>
              <w:rPr/>
            </w:pPr>
            <w:r>
              <w:rPr>
                <w:u w:val="single"/>
              </w:rPr>
              <w:t>Further Agreements of the Company</w:t>
            </w:r>
            <w:r>
              <w:rPr/>
              <w:t>. The Company covenants and agrees with the Underwriters that: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Required Filings.</w:t>
      </w:r>
      <w:r>
        <w:rPr>
          <w:rFonts w:ascii="Times New Roman;Times;Serif" w:hAnsi="Times New Roman;Times;Serif"/>
          <w:b w:val="false"/>
          <w:i w:val="false"/>
          <w:caps w:val="false"/>
          <w:smallCaps w:val="false"/>
          <w:sz w:val="20"/>
        </w:rPr>
        <w:t xml:space="preserve"> The Company will file the final Prospectus with the Commission within the time periods specified by Rule 424(b) and Rule 430A, 430B or 430C under the Securities Act, will file any Issuer Free Writing Prospectus to the extent required by Rule 433 under the Securities Act; and the Company will furnish copies of the Prospectus and each Issuer Free Writing Prospectus (to the extent not previously delivered) to the Representative in New York City prior to 10:00 A.M., New York City time, on the business day next succeeding the date of this Agreement in such quantities as the Representative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Delivery of Copies.</w:t>
      </w:r>
      <w:r>
        <w:rPr>
          <w:rFonts w:ascii="Times New Roman;Times;Serif" w:hAnsi="Times New Roman;Times;Serif"/>
          <w:b w:val="false"/>
          <w:i w:val="false"/>
          <w:caps w:val="false"/>
          <w:smallCaps w:val="false"/>
          <w:sz w:val="20"/>
        </w:rPr>
        <w:t xml:space="preserve"> The Company will deliver, without charge, (i) to the Representative, a signed copy of the Registration Statement as originally filed and each amendment thereto, in each case including all exhibits and consents filed therewith; and (ii) to the Representative a conformed copy of the Registration Statement as originally filed and each amendment thereto (without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Amendments or Supplements, Issuer Free Writing Prospectuses.</w:t>
      </w:r>
      <w:r>
        <w:rPr>
          <w:rFonts w:ascii="Times New Roman;Times;Serif" w:hAnsi="Times New Roman;Times;Serif"/>
          <w:b w:val="false"/>
          <w:i w:val="false"/>
          <w:caps w:val="false"/>
          <w:smallCaps w:val="false"/>
          <w:sz w:val="20"/>
        </w:rPr>
        <w:t xml:space="preserve"> Before making, preparing, using, authorizing, approving, referring to or filing any Issuer Free Writing Prospectus, and before filing any amendment or supplement to the Registration Statement, the Pricing Disclosure Package or the Prospectus, the Company will furnish to the Representative and counsel for the Representative a copy of the proposed Issuer Free Writing Prospectus, amendment or supplement for review and will not make, prepare, use, authorize, approve, refer to or file any such Issuer Free Writing Prospectus or file any such proposed amendment or supplement to which the Representative reasonably objects.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to the Representative.</w:t>
      </w:r>
      <w:r>
        <w:rPr>
          <w:rFonts w:ascii="Times New Roman;Times;Serif" w:hAnsi="Times New Roman;Times;Serif"/>
          <w:b w:val="false"/>
          <w:i w:val="false"/>
          <w:caps w:val="false"/>
          <w:smallCaps w:val="false"/>
          <w:sz w:val="20"/>
        </w:rPr>
        <w:t xml:space="preserve"> The Company will advise the Representative promptly, and confirm such advice in writing,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occurring at any time prior to the Closing Date or the Additional Closing Date, as the case may be,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Ongoing Compliance.</w:t>
      </w:r>
      <w:r>
        <w:rPr>
          <w:rFonts w:ascii="Times New Roman;Times;Serif" w:hAnsi="Times New Roman;Times;Serif"/>
          <w:b w:val="false"/>
          <w:i w:val="false"/>
          <w:caps w:val="false"/>
          <w:smallCaps w:val="false"/>
          <w:sz w:val="20"/>
        </w:rPr>
        <w:t xml:space="preserve"> If at any time prior to the Closing Date or the Additional Closing Date, as the case may be,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(iii)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(iv)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Blue Sky Compliance.</w:t>
      </w:r>
      <w:r>
        <w:rPr>
          <w:rFonts w:ascii="Times New Roman;Times;Serif" w:hAnsi="Times New Roman;Times;Serif"/>
          <w:b w:val="false"/>
          <w:i w:val="false"/>
          <w:caps w:val="false"/>
          <w:smallCaps w:val="false"/>
          <w:sz w:val="20"/>
        </w:rPr>
        <w:t xml:space="preserve"> The Company will qualify the Securities for offer and sale under the securities or Blue Sky laws of such jurisdictions as the Representative shall reasonably request and will continue such qualifications in effect so long as required for distribution of the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 xml:space="preserve">Earning Statement. </w:t>
      </w:r>
      <w:r>
        <w:rPr>
          <w:rFonts w:ascii="Times New Roman;Times;Serif" w:hAnsi="Times New Roman;Times;Serif"/>
          <w:b w:val="false"/>
          <w:i w:val="false"/>
          <w:caps w:val="false"/>
          <w:smallCaps w:val="false"/>
          <w:sz w:val="20"/>
        </w:rPr>
        <w:t>The Company will make generally available to its security holders and the Representative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Clear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a period of 90 days after the date of the Prospectus, the Company will not (A) 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Common Stock or any securities convertible into or exercisable or exchangeable for Common Stock, or publicly disclose the intention to undertake any of the foregoing, or (B) enter into any swap or other agreement that transfers, in whole or in part, any of the economic consequences of ownership of the Stock or any such other securities, whether any such transaction described in clause (A) or (B) above is to be settled by delivery of Common Stock or such other securities, in cash or otherwise, without the prior written consent of the Representative, other than the Securities to be sold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restrictions described in Section 4(h)(i) above shall not apply to: (A) the issuance of shares of Common Stock or securities convertible into or exercisable for shares of Common Stock pursuant to the conversion or exchange of convertible or exchangeable securities or the exercise of warrants or options (including net exercise) or the settlement of restricted stock units (“RSUs”) (including net settlement), in each case outstanding on the date of this Agreement and described in the Prospectus; (B) grants of stock options, stock awards, restricted stock, RSUs, or other equity awards and the issuance of shares of Common Stock or securities convertible into or exercisable or exchangeable for shares of Common Stock (whether upon the exercise of stock options or otherwise) to the Company’s employees, officers, directors, advisors, or consultants pursuant to the terms of an equity compensation plan in effect as of the Closing Date and described in the Prospectus,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the recipient of any such securities (i) is not otherwise subject to a Lock-Up Agreement and (ii) is an officer (as defined in Rule 16a-1(f) of the Exchange Act) or director of the Company, such recipient shall deliver a Lock-Up Agreement to the Representative; (C)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 (D) the issuance of shares of Common Stock, or securities convertible into, exercisable for or exchangeable for Common Stock, in connection with acquisitions, strategic transactions or bona fide commercial relationships with unaffiliated third parties (including joint ventures, marketing or distribution arrangements, collaboration agreements, intellectual property license agreements or lending arrangements), provided that the recipient agrees in writing to be bound by the restrictions in this Section 4(h) for the remainder of the period specified in Section 4(h)(i) and the aggregate number of shares of Common Stock issued or issuable pursuant to this clause (D) does not exceed 10% of the number of shares of Common Stock outstanding immediately following the Closing Date; (E) the issuance and sale of shares of Common Stock pursuant to the Sales Agreement, dated August 14, 2024, by and between the Company and Leerink Partners LLC (the "Sales Agreement"), provided that the Company may only issue and sell shares of Common Stock pursuant to the Sales Agreement during the period specified in Section 4(h)(i) if the closing price of the Common Stock on the NYSE American equals or exceeds 160% of the Public Offering Price per Share and Common Warrants set forth in Annex A hereto, or (F) the issuance and sale of shares of Common Stock and/or securities convertible into or exercisable for shares of Common Stock, to the extent the Company determines in good faith that such issuance is reasonably necessary to regain or maintain compliance with the continued listing standards of the NYSE American, in the event the Company is not in compliance with such continued listing standards as of August 3, 2026, or receives notice from the NYSE American of any such non-compliance at any time following such date. Any issuance or filing pursuant to the foregoing clauses (A)-(F) is an “Exempt Issuance.”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From the date hereof until the earlier of (A) 180  days after the date hereof and (B) the date on which none of the Common Warrants are outstanding (the “Restricted Period”), the Company shall be prohibited from effecting or entering into an agreement to effect any issuance by the Company or any of its subsidiaries of Common Stock or Common Stock Equivalents (or a combination of units thereof) involving a Variable Rate Transaction, without the prior written consent of the Representative.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exchange rate or other price that is based upon 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securities or upon the occurrence of specified or contingent events directly or indirectly related to the business of the Company or the market for the Common Stock, or (ii) enters into or effects a transaction under an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“Common Stock Equivalents” means any securities of the Company or its subsidiaries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For the avoidance of doubt, a security subject only to customary anti-dilution protections, including adjustments for stock splits, reverse stock splits and similar recapitalization or reclassification events, shall not be deemed a Variable Rate Transaction. For the further avoidance of doubt, a “Variable Rate Transaction” shall not include (x) the issuance or sale of Common Stock pursuant to the Sales Agreement  to the extent permitted by Section 4(h)(ii)(E), (y) the issuance or sale of revenue bonds or other straight debt instruments with no equity or equity-linked components, or (z) the entry into traditional term loans or credit facilities that do not include equity or equity-linked conversion features.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Representative, in its sole discretion, agrees to release or waive the restrictions set forth in a lock-up letter described in Section 6(l) hereof for an officer or director of the Company and provide the Company with notice of the impending release or waiver substantially in the form of Exhibit B hereto at least three business days before the effective date of the release or waiver, the Company agrees to announce the impending release or waiver substantially in the form of Exhibit C hereto through a major news service at least two business days before the effective date of the release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xml:space="preserve"> The Company will apply the net proceeds from the sale of the Securities as described in each of the Registration Statement, the Pricing Disclosure Package and the Prospectus under the heading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No Stabilization.</w:t>
      </w:r>
      <w:r>
        <w:rPr>
          <w:rFonts w:ascii="Times New Roman;Times;Serif" w:hAnsi="Times New Roman;Times;Serif"/>
          <w:b w:val="false"/>
          <w:i w:val="false"/>
          <w:caps w:val="false"/>
          <w:smallCaps w:val="false"/>
          <w:sz w:val="20"/>
        </w:rPr>
        <w:t xml:space="preserve"> Neither the Company nor its subsidiary or affiliates will take, directly or indirectly, any action designed to or that could reasonably be expected to cause or result in any stabilization or manipulation of the price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Exchange Listing.</w:t>
      </w:r>
      <w:r>
        <w:rPr>
          <w:rFonts w:ascii="Times New Roman;Times;Serif" w:hAnsi="Times New Roman;Times;Serif"/>
          <w:b w:val="false"/>
          <w:i w:val="false"/>
          <w:caps w:val="false"/>
          <w:smallCaps w:val="false"/>
          <w:sz w:val="20"/>
        </w:rPr>
        <w:t xml:space="preserve"> The Company will use its reasonable best efforts to maintain the listing of the Common Stock on the NYSE American.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xml:space="preserve"> So long as the Securities are outstanding, the Company will furnish to the Underwriters, as soon as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will be deemed to have furnished such reports and financial statements to the Underwriters to the extent they are filed on the Commission’s Electronic Data Gathering, Analysis, and Retrieval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Record Retention</w:t>
      </w:r>
      <w:r>
        <w:rPr>
          <w:rFonts w:ascii="Times New Roman;Times;Serif" w:hAnsi="Times New Roman;Times;Serif"/>
          <w:b w:val="false"/>
          <w:i w:val="false"/>
          <w:caps w:val="false"/>
          <w:smallCaps w:val="false"/>
          <w:sz w:val="20"/>
        </w:rPr>
        <w:t>. The Company will, pursuant to reasonable procedures developed in good faith, retain copies of each Issuer Free Writing Prospectus that is not filed with the Commission in accordance with Rule 433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caps w:val="false"/>
          <w:smallCaps w:val="false"/>
          <w:sz w:val="20"/>
        </w:rPr>
        <w:t>Filings.</w:t>
      </w:r>
      <w:r>
        <w:rPr>
          <w:rFonts w:ascii="Times New Roman;Times;Serif" w:hAnsi="Times New Roman;Times;Serif"/>
          <w:b w:val="false"/>
          <w:i w:val="false"/>
          <w:caps w:val="false"/>
          <w:smallCaps w:val="false"/>
          <w:sz w:val="20"/>
        </w:rPr>
        <w:t xml:space="preserve"> The Company will file with the Commission such reports as may be required by Rule 463 under the Securities Act.</w:t>
      </w:r>
    </w:p>
    <w:p>
      <w:pPr>
        <w:pStyle w:val="TextBody"/>
        <w:bidi w:val="0"/>
        <w:spacing w:before="0" w:after="0"/>
        <w:ind w:left="0" w:right="0" w:hanging="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5.</w:t>
            </w:r>
          </w:p>
        </w:tc>
        <w:tc>
          <w:tcPr>
            <w:tcW w:w="8885" w:type="dxa"/>
            <w:tcBorders/>
            <w:vAlign w:val="center"/>
          </w:tcPr>
          <w:p>
            <w:pPr>
              <w:pStyle w:val="TableContents"/>
              <w:bidi w:val="0"/>
              <w:spacing w:before="0" w:after="283"/>
              <w:jc w:val="both"/>
              <w:rPr/>
            </w:pPr>
            <w:r>
              <w:rPr>
                <w:u w:val="single"/>
              </w:rPr>
              <w:t>Certain Agreements of the Underwriters</w:t>
            </w:r>
            <w:r>
              <w:rPr/>
              <w:t>. Each Underwriter hereby represents and agrees that: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the Underwriters and approved by the Company in advance in writing (each such free writing prospectus referred to in clauses (i) or (iii), an “Underwriter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It has not and will not, without the prior written consent of the Company, use any free writing prospectus that contains the final terms of the Securities unless such terms have previously been included in a free writing prospectus filed with the Commission;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Underwriters may use a term sheet substantially in the form of Annex C hereto without the consent of the Company;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Underwriters using such term sheet shall notify the Company, and provide a copy of such term sheet to the Company, prior to, or substantially concurrently with, the first use of such term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is not subject to any pending proceeding under Section 8A of the Securities Act with respect to the offering (and will promptly notify the Company if any such proceeding against it that is initiated at any time prior to the Closing Date or the Additional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of Underwriters’ Obligations</w:t>
      </w:r>
      <w:r>
        <w:rPr>
          <w:rFonts w:ascii="Times New Roman;Times;Serif" w:hAnsi="Times New Roman;Times;Serif"/>
          <w:b w:val="false"/>
          <w:i w:val="false"/>
          <w:caps w:val="false"/>
          <w:smallCaps w:val="false"/>
          <w:sz w:val="20"/>
        </w:rPr>
        <w:t>. The obligation of the Underwriters to purchase the Firm Securities on the Closing Date, or the Option Securities on the Additional Closing Date, as the case may be, as provided herein is subject to the performance by the Company of its covenants and other obligations hereunder and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Registration Compliance; No Stop Order.</w:t>
      </w:r>
      <w:r>
        <w:rPr>
          <w:rFonts w:ascii="Times New Roman;Times;Serif" w:hAnsi="Times New Roman;Times;Serif"/>
          <w:b w:val="false"/>
          <w:i w:val="false"/>
          <w:caps w:val="false"/>
          <w:smallCaps w:val="false"/>
          <w:sz w:val="20"/>
        </w:rPr>
        <w:t xml:space="preserve"> No order suspending the effectiveness of the Registration Statement shall be in effect, and no 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Representations and Warranties.</w:t>
      </w:r>
      <w:r>
        <w:rPr>
          <w:rFonts w:ascii="Times New Roman;Times;Serif" w:hAnsi="Times New Roman;Times;Serif"/>
          <w:b w:val="false"/>
          <w:i w:val="false"/>
          <w:caps w:val="false"/>
          <w:smallCaps w:val="false"/>
          <w:sz w:val="20"/>
        </w:rPr>
        <w:t xml:space="preserve"> The representations and warranties of the Company contained herein shall be true and correct in all material respects on the date hereof and on and as of the Closing Date and each applicable Additional Closing Date; provided that (i) any representation or warranty already qualified by materiality or Material Adverse Effect shall be true and correct in all respects as so qualified, (ii) to the extent that any such representation or warranty expressly relates to an earlier date, such representation or warranty shall be true and correct, subject to the foregoing materiality qualifications, as of such earlier date, and (iii) changes contemplated or permitted by this Agreement, the Registration Statement, the Pricing Disclosure Package or the Prospectus shall not constitute a breach of any such representation or warranty. The statements of the Company and its officers made in any certificates delivered pursuant to this Agreement shall be true and correct in all material respects on and as of the Closing Date and each applicable Additional Closing Date, subject to the same qualification.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 Material Adverse Change.</w:t>
      </w:r>
      <w:r>
        <w:rPr>
          <w:rFonts w:ascii="Times New Roman;Times;Serif" w:hAnsi="Times New Roman;Times;Serif"/>
          <w:b w:val="false"/>
          <w:i w:val="false"/>
          <w:caps w:val="false"/>
          <w:smallCaps w:val="false"/>
          <w:sz w:val="20"/>
        </w:rPr>
        <w:t xml:space="preserve"> No event or condition of a type described in Section 3(h) hereof shall have occurred or shall 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Firm Securities on the Closing Date or the Option Securities on the Applicable Closing Date, as the case may be, on the terms and in the manner contemplated by this Agreement,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Officers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Certificate.</w:t>
      </w:r>
      <w:r>
        <w:rPr>
          <w:rFonts w:ascii="Times New Roman;Times;Serif" w:hAnsi="Times New Roman;Times;Serif"/>
          <w:b w:val="false"/>
          <w:i w:val="false"/>
          <w:caps w:val="false"/>
          <w:smallCaps w:val="false"/>
          <w:sz w:val="20"/>
        </w:rPr>
        <w:t xml:space="preserve"> The Representative shall have received on and as of the Closing Date and each Additional Closing Date a certificate of the Chief Executive Officer or President and the Chief Financial Officer of the Company (i)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in all material respects (provided that any representation or warranty already qualified by materiality or Material Adverse Effect shall be true and correct in all respects as so qualified) and that the Company has complied in all material respects with all agreements and satisfied all conditions on its part to be performed or satisfied hereunder at or prior to the Closing Date and each Additional Closing Date, and (iii) to the effect set forth in paragraphs (a), (b) and (c)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 xml:space="preserve">Comfort Letters. </w:t>
      </w:r>
      <w:r>
        <w:rPr>
          <w:rFonts w:ascii="Times New Roman;Times;Serif" w:hAnsi="Times New Roman;Times;Serif"/>
          <w:b w:val="false"/>
          <w:i w:val="false"/>
          <w:caps w:val="false"/>
          <w:smallCaps w:val="false"/>
          <w:sz w:val="20"/>
        </w:rPr>
        <w:t xml:space="preserve">(i) On the date of this Agreement and on the Closing Date and each Applicable Closing Date, the Accountant shall have furnished to the Representative, at the request of the Company, letters, dated the respective dates of delivery thereof and addressed to the Representative, in form and substance reasonably satisfactory to the Representative,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letter delivered on the Closing Date and each Additional Closing Date shall use a “cut-off” date no more than two business days prior to such Closing Date and each Additional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the date of this Agreement and on the Closing Date and each Additional Closing Date, the Company shall have furnished to the Representative a certificate, dated the respective dates of delivery thereof and addressed to the Representative, of its chief financial officer with respect to certain financial data contained in the Pricing Disclosure Package and the Prospectus, providing “management comfort” with respect to such information, in form and substance reasonably satisfactory to the Representative.]</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Opinion and Negative Assurance Letter of Counsel for the Company.</w:t>
      </w:r>
      <w:r>
        <w:rPr>
          <w:rFonts w:ascii="Times New Roman;Times;Serif" w:hAnsi="Times New Roman;Times;Serif"/>
          <w:b w:val="false"/>
          <w:i w:val="false"/>
          <w:caps w:val="false"/>
          <w:smallCaps w:val="false"/>
          <w:sz w:val="20"/>
        </w:rPr>
        <w:t xml:space="preserve"> Sullivan &amp; Worcester LLP, counsel for the Company, shall have furnished to the Representative, at the request of the Company, its written opinion and 10b-5 statement, dated the Closing Date and each Additional Closing Date and addressed to the Representative, in form and substance reasonably satisfactory to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Opinion of Intellectual Property Counsel for the Company</w:t>
      </w:r>
      <w:r>
        <w:rPr>
          <w:rFonts w:ascii="Times New Roman;Times;Serif" w:hAnsi="Times New Roman;Times;Serif"/>
          <w:b w:val="false"/>
          <w:i w:val="false"/>
          <w:caps w:val="false"/>
          <w:smallCaps w:val="false"/>
          <w:sz w:val="20"/>
        </w:rPr>
        <w:t>. K&amp;L Gates LLP, intellectual property counsel for the Company, shall have furnished to the Representative, at the request of the Company, its written opinion, dated the Closing date or the Additional Closing Date, as the case may be, and addressed to the Representative, in form and substance reasonably satisfactory to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Opinion and Negative Assurance Statement of Counsel for the Underwriters.</w:t>
      </w:r>
      <w:r>
        <w:rPr>
          <w:rFonts w:ascii="Times New Roman;Times;Serif" w:hAnsi="Times New Roman;Times;Serif"/>
          <w:b w:val="false"/>
          <w:i w:val="false"/>
          <w:caps w:val="false"/>
          <w:smallCaps w:val="false"/>
          <w:sz w:val="20"/>
        </w:rPr>
        <w:t xml:space="preserve"> The Representative shall have received on and as of the Closing Date an opinion that includes a negative assurance statement, addressed to the Representative, of Faegre Drinker Biddle &amp; Reath LLP, counsel for the Underwriters, with respect to such matters as the Representative may reasonably request, and such counsel shall have received such documents and information as they may reasonably request to enable them to pass upon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No Legal Impediment to Issuance and Sale.</w:t>
      </w:r>
      <w:r>
        <w:rPr>
          <w:rFonts w:ascii="Times New Roman;Times;Serif" w:hAnsi="Times New Roman;Times;Serif"/>
          <w:b w:val="false"/>
          <w:i w:val="false"/>
          <w:caps w:val="false"/>
          <w:smallCaps w:val="false"/>
          <w:sz w:val="20"/>
        </w:rPr>
        <w:t xml:space="preserve"> No action shall have been taken and no statute, rule, regulation or order shall have been enacted, adopted or issued by any federal, state or foreign governmental or regulatory authority that would, as of the Closing Date or each Additional Closing Date, prevent the issuance or sale of the Securities; and no injunction or order of any federal, state or foreign court shall have been issued that would, as of the Closing Date or the Additional Closing Date, as the case may be, prevent the issuance or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caps w:val="false"/>
          <w:smallCaps w:val="false"/>
          <w:sz w:val="20"/>
        </w:rPr>
        <w:t>Good Standing</w:t>
      </w:r>
      <w:r>
        <w:rPr>
          <w:rFonts w:ascii="Times New Roman;Times;Serif" w:hAnsi="Times New Roman;Times;Serif"/>
          <w:b w:val="false"/>
          <w:i w:val="false"/>
          <w:caps w:val="false"/>
          <w:smallCaps w:val="false"/>
          <w:sz w:val="20"/>
        </w:rPr>
        <w:t>. The Representative shall have received on and as of the Closing Date and each Additional Closing Date satisfactory evidence of the good standing of the Company and its subsidiary in their respective jurisdictions of organization, in each case in writing or any standard form of telecommunication from the appropriate governmental authorities of such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Exchange Listing.</w:t>
      </w:r>
      <w:r>
        <w:rPr>
          <w:rFonts w:ascii="Times New Roman;Times;Serif" w:hAnsi="Times New Roman;Times;Serif"/>
          <w:b w:val="false"/>
          <w:i w:val="false"/>
          <w:caps w:val="false"/>
          <w:smallCaps w:val="false"/>
          <w:sz w:val="20"/>
        </w:rPr>
        <w:t xml:space="preserve"> The Company shall have filed with the NYSE American a supplemental listing application (“SLA”) with respect to the Shares and the Warrant Shares and has not received any notice of objection from NYSE American regarding the SLA.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Lock-up Agreements</w:t>
      </w:r>
      <w:r>
        <w:rPr>
          <w:rFonts w:ascii="Times New Roman;Times;Serif" w:hAnsi="Times New Roman;Times;Serif"/>
          <w:b w:val="false"/>
          <w:i w:val="false"/>
          <w:caps w:val="false"/>
          <w:smallCaps w:val="false"/>
          <w:sz w:val="20"/>
        </w:rPr>
        <w:t>. The “lock-up” agreements, each substantially in the form of Exhibit G hereto (a “Lock-Up Agreement”), executed by the executive officers and directors of the Company relating to sales and certain other dispositions of shares of Common Stock or certain other securities, delivered to the Representative on or before the date hereof, shall be in full force and effect on the Closing Date or the Additional Closing Date, as the case may be.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caps w:val="false"/>
          <w:smallCaps w:val="false"/>
          <w:sz w:val="20"/>
        </w:rPr>
        <w:t>Additional Documents.</w:t>
      </w:r>
      <w:r>
        <w:rPr>
          <w:rFonts w:ascii="Times New Roman;Times;Serif" w:hAnsi="Times New Roman;Times;Serif"/>
          <w:b w:val="false"/>
          <w:i w:val="false"/>
          <w:caps w:val="false"/>
          <w:smallCaps w:val="false"/>
          <w:sz w:val="20"/>
        </w:rPr>
        <w:t xml:space="preserve"> On or prior to the Closing Date or the Additional Closing Date, as the case may be, the Company shall have furnished to the Representative such further certificates and documents as the Representative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opinions, letters, certificates and evidence mentioned above or elsewhere in this Agreement shall be deemed to be in compliance with the provisions hereof only if they are in form and substance reasonably satisfactory to counsel for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17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7.</w:t>
            </w:r>
          </w:p>
        </w:tc>
        <w:tc>
          <w:tcPr>
            <w:tcW w:w="3245" w:type="dxa"/>
            <w:tcBorders/>
            <w:vAlign w:val="center"/>
          </w:tcPr>
          <w:p>
            <w:pPr>
              <w:pStyle w:val="TableContents"/>
              <w:bidi w:val="0"/>
              <w:spacing w:before="0" w:after="283"/>
              <w:jc w:val="both"/>
              <w:rPr/>
            </w:pPr>
            <w:r>
              <w:rPr>
                <w:u w:val="single"/>
              </w:rPr>
              <w:t>Indemnification and Contribution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Indemnification of the Underwriters.</w:t>
      </w:r>
      <w:r>
        <w:rPr>
          <w:rFonts w:ascii="Times New Roman;Times;Serif" w:hAnsi="Times New Roman;Times;Serif"/>
          <w:b w:val="false"/>
          <w:i w:val="false"/>
          <w:caps w:val="false"/>
          <w:smallCaps w:val="false"/>
          <w:sz w:val="20"/>
        </w:rPr>
        <w:t xml:space="preserve"> The Company agrees to indemnify and hold harmless each Underwriter, its affiliates,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the Underwriter consists of the information described as such in paragraph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of the Company.</w:t>
      </w:r>
      <w:r>
        <w:rPr>
          <w:rFonts w:ascii="Times New Roman;Times;Serif" w:hAnsi="Times New Roman;Times;Serif"/>
          <w:b w:val="false"/>
          <w:i w:val="false"/>
          <w:caps w:val="false"/>
          <w:smallCaps w:val="false"/>
          <w:sz w:val="20"/>
        </w:rPr>
        <w:t xml:space="preserve"> Each Underwriter agrees, severally and not jointly, to indemnify and hold harmless the Company, its 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the Underwriter consists of the following information in the Prospectus furnished on behalf of each Underwriter: the concession and reallowance figures appearing in the second paragraph under the caption “Underwriting” and the twelfth paragraph, the first sentence of paragraph 13 and the first sentence of paragraph 14 under the caption “Underwriting” relating to price stabilization, short positions and penalty bids.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Notice and Procedures.</w:t>
      </w:r>
      <w:r>
        <w:rPr>
          <w:rFonts w:ascii="Times New Roman;Times;Serif" w:hAnsi="Times New Roman;Times;Serif"/>
          <w:b w:val="false"/>
          <w:i w:val="false"/>
          <w:caps w:val="false"/>
          <w:smallCaps w:val="false"/>
          <w:sz w:val="20"/>
        </w:rPr>
        <w:t xml:space="preserve"> If any suit, action, proceeding (including any governmental or regulatory investigation), claim or demand shall be 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in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such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Contribution.</w:t>
      </w:r>
      <w:r>
        <w:rPr>
          <w:rFonts w:ascii="Times New Roman;Times;Serif" w:hAnsi="Times New Roman;Times;Serif"/>
          <w:b w:val="false"/>
          <w:i w:val="false"/>
          <w:caps w:val="false"/>
          <w:smallCaps w:val="false"/>
          <w:sz w:val="20"/>
        </w:rPr>
        <w:t xml:space="preserve"> If the indemnification provided for in paragraphs (a) or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Limitation on Liability.</w:t>
      </w:r>
      <w:r>
        <w:rPr>
          <w:rFonts w:ascii="Times New Roman;Times;Serif" w:hAnsi="Times New Roman;Times;Serif"/>
          <w:b w:val="false"/>
          <w:i w:val="false"/>
          <w:caps w:val="false"/>
          <w:smallCaps w:val="false"/>
          <w:sz w:val="20"/>
        </w:rPr>
        <w:t xml:space="preserve"> The Company and the Underwriters agree that it would not be just and equitable if contribution pursuant to paragraph (d) above were determined by </w:t>
      </w:r>
      <w:r>
        <w:rPr>
          <w:rFonts w:ascii="Times New Roman;Times;Serif" w:hAnsi="Times New Roman;Times;Serif"/>
          <w:b w:val="false"/>
          <w:i w:val="false"/>
          <w:caps w:val="false"/>
          <w:smallCaps w:val="false"/>
          <w:sz w:val="20"/>
          <w:u w:val="single"/>
        </w:rPr>
        <w:t>pro rata</w:t>
      </w:r>
      <w:r>
        <w:rPr>
          <w:rFonts w:ascii="Times New Roman;Times;Serif" w:hAnsi="Times New Roman;Times;Serif"/>
          <w:b w:val="false"/>
          <w:i w:val="false"/>
          <w:caps w:val="false"/>
          <w:smallCaps w:val="false"/>
          <w:sz w:val="20"/>
        </w:rPr>
        <w:t xml:space="preserve"> allocation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the Underwriters with respect to the offering of the Securities exceeds the amount of any damages that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Non-Exclusive Remedies.</w:t>
      </w:r>
      <w:r>
        <w:rPr>
          <w:rFonts w:ascii="Times New Roman;Times;Serif" w:hAnsi="Times New Roman;Times;Serif"/>
          <w:b w:val="false"/>
          <w:i w:val="false"/>
          <w:caps w:val="false"/>
          <w:smallCaps w:val="false"/>
          <w:sz w:val="20"/>
        </w:rPr>
        <w:t xml:space="preserve"> The remedies provided for in Section 7(a)-(e) are not exclusive and shall not limit any rights or remedies which may otherwise be available to any Indemnified Person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Effectiveness of Agreement</w:t>
      </w:r>
      <w:r>
        <w:rPr>
          <w:rFonts w:ascii="Times New Roman;Times;Serif" w:hAnsi="Times New Roman;Times;Serif"/>
          <w:b w:val="false"/>
          <w:i w:val="false"/>
          <w:caps w:val="false"/>
          <w:smallCaps w:val="false"/>
          <w:sz w:val="20"/>
        </w:rPr>
        <w:t>. This Agreement shall become effective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notice from the Representative to the Company if, after the execution and delivery of this Agreement and on or prior to the Closing Date or, in the case of the Option Securities, prior to the Additional Closing Date, (i) trading generally shall have been suspended or materially limited on or by the New York Stock Exchange, Nasdaq or NYSE American;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any material adverse change in general financial markets or any calamity or crisis, either within or outside the United States, that, in the reasonable judgment of the Representative, makes it impracticable or inadvisable to proceed with the offering, sale or delivery of the Securities on the Closing Date or the Additional Closing Date on the terms and in the manner contemplated by this Agreement, the Pricing Disclosure Package and the Prospectus.</w:t>
      </w:r>
    </w:p>
    <w:p>
      <w:pPr>
        <w:pStyle w:val="TextBody"/>
        <w:bidi w:val="0"/>
        <w:spacing w:before="0" w:after="0"/>
        <w:ind w:left="0" w:right="0" w:hanging="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275"/>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10.</w:t>
            </w:r>
          </w:p>
        </w:tc>
        <w:tc>
          <w:tcPr>
            <w:tcW w:w="2315" w:type="dxa"/>
            <w:tcBorders/>
            <w:vAlign w:val="center"/>
          </w:tcPr>
          <w:p>
            <w:pPr>
              <w:pStyle w:val="TableContents"/>
              <w:bidi w:val="0"/>
              <w:spacing w:before="0" w:after="283"/>
              <w:jc w:val="both"/>
              <w:rPr/>
            </w:pPr>
            <w:r>
              <w:rPr>
                <w:u w:val="single"/>
              </w:rPr>
              <w:t>Defaulting Underwriter</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Securities that a defaulting Underwriter agreed but failed to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does not exceed one-eleventh of the aggregate number of Securities to be purchased on such date, then the Company shall have the right to require each non-defaulting Underwriter to purchase the number of Securities that such Underwriter agreed to purchase hereunder on such date plus such Underwriter’s pro rata share (based on the number of Securities that such Underwriter agreed to purchase on such date) of the Securities of such defaulting Underwriter or Underwriters for which such arrangements have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exceeds one-eleventh of the aggregate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(other than with respect to the defaulting Underwriter(s)) and except that the provisions of Section 7 hereof shall not terminate and shall remain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contained herein shall relieve a defaulting Underwriter of any liability it may have to the Company or any non-defaulting Underwriter for damages caused by its default.</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75"/>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11.</w:t>
            </w:r>
          </w:p>
        </w:tc>
        <w:tc>
          <w:tcPr>
            <w:tcW w:w="2135" w:type="dxa"/>
            <w:tcBorders/>
            <w:vAlign w:val="center"/>
          </w:tcPr>
          <w:p>
            <w:pPr>
              <w:pStyle w:val="TableContents"/>
              <w:bidi w:val="0"/>
              <w:spacing w:before="0" w:after="283"/>
              <w:jc w:val="both"/>
              <w:rPr/>
            </w:pPr>
            <w:r>
              <w:rPr>
                <w:u w:val="single"/>
              </w:rPr>
              <w:t>Payment of Expenses</w:t>
            </w:r>
            <w:r>
              <w:rPr>
                <w:i/>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Securities under the laws of such jurisdictions as the Representative may designate and the preparation, printing and distribution of a Blue Sky Memorandum (including the related reasonable and documented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(viii) all expenses incurred by the Company in connection with any “road show” presentation to potential investors; (ix) all expenses and application fees related to the listing of the Shares and the Warrant Shares on the NYSE American; and (x) the Representative’s reasonable, documented and actually incurred accountable expenses and fees in connection with the offer, sale and marketing of the Securities, including reasonable and documented fees and disbursements of the Underwriters’ legal counsel; provided that the aggregate amount reimbursable by the Company under this Section 11, including Section 11(b), shall not exceed $125,000 without the Company’s prior written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 this Agreement is terminated pursuant to Section 9 above other than as a result of a breach or default by an Underwriter, (ii) the Company fails to tender the Securities for delivery to the Underwriters other than as a result of a breach or default by an Underwriter or (iii) the Underwriters decline to purchase the Securities by reason of the Company’s failure to satisfy a condition to the Underwriters’ obligations under this Agreement, the Company agrees to reimburse the Representative for reasonable, documented and actually incurred out-of-pocket costs and expenses (including reasonable and documented fees and expenses of its counsel) incurred in connection with this Agreement and the offering contemplated hereby, in each case subject to the aggregate cap set forth in Section 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Persons Entitled to Benefit of Agreement</w:t>
      </w:r>
      <w:r>
        <w:rPr>
          <w:rFonts w:ascii="Times New Roman;Times;Serif" w:hAnsi="Times New Roman;Times;Serif"/>
          <w:b w:val="false"/>
          <w:i w:val="false"/>
          <w:caps w:val="false"/>
          <w:smallCaps w:val="false"/>
          <w:sz w:val="20"/>
        </w:rPr>
        <w:t>. This Agreement shall inure to the benefit of and be binding upon the parties hereto and their respective successors and the officers and directors and any controlling persons referred to herein, and the affiliates of the Underwriters referred to in Section 7 hereof. Nothing in this Agreement is intended or shall be construed to give any other person any legal or equitable right, remedy or claim under or in respect of this Agreement or any provision contained herein. No purchaser of Securities from the Underwriters shall be deemed to be a successor merely by reason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 or the directors, officers, controlling persons or affiliates referred to in Section 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Compliance with USA Patriot Act</w:t>
      </w:r>
      <w:r>
        <w:rPr>
          <w:rFonts w:ascii="Times New Roman;Times;Serif" w:hAnsi="Times New Roman;Times;Serif"/>
          <w:b w:val="false"/>
          <w:i w:val="false"/>
          <w:caps w:val="false"/>
          <w:smallCaps w:val="false"/>
          <w:sz w:val="20"/>
        </w:rPr>
        <w:t>. In accordance with the requirements of the USA Patriot Act (Title III of Pub. L. 107-56 (signed into law October 26, 2001)), the Underwriters are required to obtain, verify and record information that identifies its clients, including the Company, which information may include the name and address of its clients, as well as other information that will allow the Underwriters to properly identify their clients.</w:t>
      </w:r>
    </w:p>
    <w:p>
      <w:pPr>
        <w:pStyle w:val="TextBody"/>
        <w:bidi w:val="0"/>
        <w:spacing w:before="0" w:after="0"/>
        <w:ind w:left="0" w:right="0" w:hanging="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27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16.</w:t>
            </w:r>
          </w:p>
        </w:tc>
        <w:tc>
          <w:tcPr>
            <w:tcW w:w="1445"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xml:space="preserve"> All notices and other communications hereunder shall be in writing and shall be deemed to have been duly given if mailed or transmitted and confirmed by any standard form of telecommunication. Notices to the Representative shall be given to the Representative at Lake Street Capital Markets, LLC, 121 South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Ste. 1000, Minneapolis, MN 55402, Attention: Investment Banking, with a copy (which shall not constitute notice) to Faegre Drinker Biddle &amp; Reath LLP, 2200 Wells Fargo Center 90 S. Seventh Street, Minneapolis, Minnesota 55402 Attention: Jonathan Zimmerman. Notices to the Company shall be given to it at AEON Biopharma, Inc., 5 Park Plaza, Suite 1750, Irvine, California 92614 Attention: John Bencich, with a copy (which shall not constitute notice) to Sullivan &amp; Worcester LLP, 1251 Avenue of the Americas, New York, New York 10020 Attention: David Danovitch.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xml:space="preserve"> This Agreement and any claim, controversy or dispute arising under or related to this Agreement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Submission to Jurisdiction</w:t>
      </w:r>
      <w:r>
        <w:rPr>
          <w:rFonts w:ascii="Times New Roman;Times;Serif" w:hAnsi="Times New Roman;Times;Serif"/>
          <w:b w:val="false"/>
          <w:i w:val="false"/>
          <w:caps w:val="false"/>
          <w:smallCaps w:val="false"/>
          <w:sz w:val="20"/>
        </w:rPr>
        <w:t>. The Company hereby submits to the exclusive jurisdiction of the U.S. federal and New York state courts in the 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xml:space="preserve"> Each of the parties hereto hereby waives any right to trial by jury in any suit or proceeding arising out of or relating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any Underwriter is a Covered Entity and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that any Underwriter is a Covered Entity and becomes subject, or a BHC Act Affiliate of such Underwriter becomes subject, to a proceeding under a U.S. Special Resolution Regime, Default Rights under this Agreement that may be exercised against such Underwriter is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16(e):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BHC Act Affiliate” has the meaning assigned to the term “affiliate” in, and shall be interpreted in accordance with, 12 U.S.C. § 1841(k).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signed in counterparts (which may include counterparts delivered by any standard form of telecommunication), each of which shall be an original and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Amendments or Waivers</w:t>
      </w:r>
      <w:r>
        <w:rPr>
          <w:rFonts w:ascii="Times New Roman;Times;Serif" w:hAnsi="Times New Roman;Times;Serif"/>
          <w:b w:val="false"/>
          <w:i w:val="false"/>
          <w:caps w:val="false"/>
          <w:smallCaps w:val="false"/>
          <w:sz w:val="20"/>
        </w:rPr>
        <w:t>. 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headings herein are included for convenience of reference only and are not intended to be part of, or to affect the meaning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indicate your acceptance of this Agreement by signing in the space provided below.</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320"/>
        <w:gridCol w:w="1635"/>
      </w:tblGrid>
      <w:tr>
        <w:trPr/>
        <w:tc>
          <w:tcPr>
            <w:tcW w:w="75"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 Biopharma, Inc.</w:t>
            </w:r>
          </w:p>
        </w:tc>
      </w:tr>
      <w:tr>
        <w:trPr/>
        <w:tc>
          <w:tcPr>
            <w:tcW w:w="75" w:type="dxa"/>
            <w:tcBorders/>
            <w:vAlign w:val="center"/>
          </w:tcPr>
          <w:p>
            <w:pPr>
              <w:pStyle w:val="TableContents"/>
              <w:bidi w:val="0"/>
              <w:spacing w:before="0" w:after="283"/>
              <w:jc w:val="left"/>
              <w:rPr/>
            </w:pPr>
            <w:r>
              <w:rPr/>
              <w:t> </w:t>
            </w:r>
          </w:p>
        </w:tc>
        <w:tc>
          <w:tcPr>
            <w:tcW w:w="1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STREET CAPITAL MARKETS,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itself and on behalf of the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listed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Schedule 1 hereto</w:t>
      </w:r>
    </w:p>
    <w:p>
      <w:pPr>
        <w:pStyle w:val="TextBody"/>
        <w:bidi w:val="0"/>
        <w:spacing w:before="0" w:after="0"/>
        <w:ind w:left="0" w:right="0" w:hanging="0"/>
        <w:jc w:val="left"/>
        <w:rPr>
          <w:caps w:val="false"/>
          <w:smallCaps w:val="false"/>
        </w:rPr>
      </w:pPr>
      <w:r>
        <w:rPr>
          <w:caps w:val="false"/>
          <w:smallCaps w:val="false"/>
        </w:rPr>
        <w:t> </w:t>
      </w:r>
    </w:p>
    <w:tbl>
      <w:tblPr>
        <w:tblW w:w="2000" w:type="dxa"/>
        <w:jc w:val="left"/>
        <w:tblInd w:w="0" w:type="dxa"/>
        <w:tblLayout w:type="fixed"/>
        <w:tblCellMar>
          <w:top w:w="0" w:type="dxa"/>
          <w:left w:w="0" w:type="dxa"/>
          <w:bottom w:w="0" w:type="dxa"/>
          <w:right w:w="0" w:type="dxa"/>
        </w:tblCellMar>
      </w:tblPr>
      <w:tblGrid>
        <w:gridCol w:w="320"/>
        <w:gridCol w:w="1620"/>
        <w:gridCol w:w="60"/>
      </w:tblGrid>
      <w:tr>
        <w:trPr/>
        <w:tc>
          <w:tcPr>
            <w:tcW w:w="320" w:type="dxa"/>
            <w:tcBorders/>
            <w:vAlign w:val="center"/>
          </w:tcPr>
          <w:p>
            <w:pPr>
              <w:pStyle w:val="TableContents"/>
              <w:bidi w:val="0"/>
              <w:spacing w:before="0" w:after="283"/>
              <w:jc w:val="left"/>
              <w:rPr>
                <w:sz w:val="20"/>
              </w:rPr>
            </w:pPr>
            <w:r>
              <w:rPr>
                <w:sz w:val="20"/>
              </w:rPr>
              <w:t>By:</w:t>
            </w:r>
          </w:p>
        </w:tc>
        <w:tc>
          <w:tcPr>
            <w:tcW w:w="16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Mike Townley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Head of Investment Banking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10" w:type="dxa"/>
        <w:tblLayout w:type="fixed"/>
        <w:tblCellMar>
          <w:top w:w="28" w:type="dxa"/>
          <w:left w:w="108" w:type="dxa"/>
          <w:bottom w:w="28" w:type="dxa"/>
          <w:right w:w="108" w:type="dxa"/>
        </w:tblCellMar>
      </w:tblPr>
      <w:tblGrid>
        <w:gridCol w:w="2765"/>
        <w:gridCol w:w="1295"/>
        <w:gridCol w:w="1370"/>
        <w:gridCol w:w="1295"/>
        <w:gridCol w:w="1625"/>
      </w:tblGrid>
      <w:tr>
        <w:trPr/>
        <w:tc>
          <w:tcPr>
            <w:tcW w:w="27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Underwriter</w:t>
            </w:r>
          </w:p>
        </w:tc>
        <w:tc>
          <w:tcPr>
            <w:tcW w:w="12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Number of Firm</w:t>
              <w:br/>
              <w:t>Shares</w:t>
            </w:r>
          </w:p>
        </w:tc>
        <w:tc>
          <w:tcPr>
            <w:tcW w:w="13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Number of</w:t>
              <w:br/>
              <w:t>Firm Pre-Funded</w:t>
              <w:br/>
              <w:t>Warrants</w:t>
            </w:r>
          </w:p>
        </w:tc>
        <w:tc>
          <w:tcPr>
            <w:tcW w:w="12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Number of Firm</w:t>
              <w:br/>
              <w:t>Two-Year</w:t>
              <w:br/>
              <w:t xml:space="preserve">Milestone </w:t>
              <w:br/>
              <w:t>Warrants</w:t>
            </w:r>
          </w:p>
        </w:tc>
        <w:tc>
          <w:tcPr>
            <w:tcW w:w="16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Number of Firm</w:t>
              <w:br/>
              <w:t xml:space="preserve">Five-Year </w:t>
              <w:br/>
              <w:t>Milestone Warrants</w:t>
            </w:r>
          </w:p>
        </w:tc>
      </w:tr>
      <w:tr>
        <w:trPr/>
        <w:tc>
          <w:tcPr>
            <w:tcW w:w="27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Lake Street Capital Markets, LLC</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7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Laidlaw &amp; Company (UK) Ltd.</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7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3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6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 Biopharma Sub,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55"/>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2840" w:type="dxa"/>
            <w:tcBorders/>
            <w:vAlign w:val="center"/>
          </w:tcPr>
          <w:p>
            <w:pPr>
              <w:pStyle w:val="TableContents"/>
              <w:bidi w:val="0"/>
              <w:spacing w:before="0" w:after="283"/>
              <w:jc w:val="both"/>
              <w:rPr/>
            </w:pPr>
            <w:r>
              <w:rPr/>
              <w:t> </w:t>
            </w:r>
            <w:r>
              <w:rPr>
                <w:b/>
              </w:rPr>
              <w:t>Pricing Disclosure Package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20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5420" w:type="dxa"/>
            <w:tcBorders/>
            <w:vAlign w:val="center"/>
          </w:tcPr>
          <w:p>
            <w:pPr>
              <w:pStyle w:val="TableContents"/>
              <w:bidi w:val="0"/>
              <w:spacing w:before="0" w:after="283"/>
              <w:jc w:val="both"/>
              <w:rPr>
                <w:b/>
              </w:rPr>
            </w:pPr>
            <w:r>
              <w:rPr>
                <w:b/>
              </w:rPr>
              <w:t>Pricing Information Provided Orally by Underwriter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per Share and Common Warrants: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per Pre-Funded Warrant and Common Warrants: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 Exercise Price: $0.0001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Two-Year Milestone Warrant Exercise Price: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Five-Year Milestone Warrant Exercise Price: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Firm Shares: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Pre-Funded Warrants: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Two-Year Milestone Warrants: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Five-Year Milestone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Option Shares: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Pre-Funded Option Warrants: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Two-Year Milestone Option Warrants: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Five-Year Milestone Option Warrants: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Testing-the-Waters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2026 Investor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Term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Testing-the-Waters Authorization (to be delivered by AEON Biopharma, Inc. to Lake Street Capital Markets, LLC in email or letter form)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reliance on Rule 163B under the Securities Act of 1933, as amended (the “Act”), AEON Biopharma, Inc. (the “Issuer”) hereby authorizes Lake Street Capital Markets, LLC (“Lake Street”), as representative of the underwriters, and its affiliates and employees to engage on behalf of the Issuer in oral and written communications with potential investors that are reasonably believed to be “qualified institutional buyers,” as defined in Rule 144A under the Act, or institutions that are “accredited investors,” within the meaning of Rule 501(a)(1), (a)(2), (a)(3), (a)(7) or (a)(8) under the Act, to determine whether such investors might have an interest in the Issuer’s contemplated public offering (“Testing-the-Waters Communications”). A “Written Testing-the Waters Communication” means any Testing-the-Waters Communication that is a written communication within the meaning of Rule 405 under the Act. Lake Street agrees that it shall not distribute any Written Testing-the-Waters Communication that has not been approved by the Issuer.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Lake Street and will promptly amend or supplement, at its own expense, such Written Testing-the-Waters Communication to eliminate or correct such untrue statement or omission.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authorization is intended to limit or otherwise affect the ability of Lake Street and its affiliates and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Lake Street a written notice revoking this authorization. All notices as described herein shall be sent by email to the attention of Michael Fenton at michael.fenton@lakestreetcm.com, with copies to Jonathan Zimmerman at Jon.Zimmerman@faegredrinker.com.</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Waiver of Lock-up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LAKE STREET CAPITAL MARKETS, LLC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 Biopharma, Inc.</w:t>
        <w:br/>
        <w:t>Public Offering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w:t>
        <w:br/>
        <w:t>Officer or Director</w:t>
        <w:br/>
        <w:t>Requesting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Mr./Ms.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being delivered to you in connection with the offering by AEON Biopharma, Inc. (the “Company”) of ______ shares of Class A common stock, $0.0001 par value (the “Common Stock”), of the Company and the lock-up letter dated __________________, 20__ (the “Lock-up Letter”), executed by you in connection with such offering, and your request for a [waiver] [release] dated __________________, 20__, with respect to ______ shares of Common Stock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Lake Street Capital Markets, LLC hereby agrees to [waive] [release] the transfer restrictions set forth in the Lock-up Letter, but only with respect to the Shares, effective __________________, 20__;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[waiver] [release] is conditioned on the Company announcing the impending [waiver] [release] by press release through a major news service at least two business days before effectiveness of such [waiver] [release]. This letter will serve as notice to the Company of the impending [waiver]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[waived] [released] hereby, the Lock-up Letter shall remain in full force and effect.</w:t>
      </w:r>
    </w:p>
    <w:p>
      <w:pPr>
        <w:pStyle w:val="TextBody"/>
        <w:bidi w:val="0"/>
        <w:spacing w:before="0" w:after="0"/>
        <w:ind w:left="0" w:right="0" w:hanging="0"/>
        <w:jc w:val="left"/>
        <w:rPr>
          <w:caps w:val="false"/>
          <w:smallCaps w:val="false"/>
        </w:rPr>
      </w:pPr>
      <w:r>
        <w:rPr>
          <w:caps w:val="false"/>
          <w:smallCaps w:val="false"/>
        </w:rPr>
        <w:t> </w:t>
      </w:r>
    </w:p>
    <w:tbl>
      <w:tblPr>
        <w:tblW w:w="3679" w:type="dxa"/>
        <w:jc w:val="left"/>
        <w:tblInd w:w="0" w:type="dxa"/>
        <w:tblLayout w:type="fixed"/>
        <w:tblCellMar>
          <w:top w:w="0" w:type="dxa"/>
          <w:left w:w="0" w:type="dxa"/>
          <w:bottom w:w="0" w:type="dxa"/>
          <w:right w:w="0" w:type="dxa"/>
        </w:tblCellMar>
      </w:tblPr>
      <w:tblGrid>
        <w:gridCol w:w="75"/>
        <w:gridCol w:w="683"/>
        <w:gridCol w:w="2921"/>
      </w:tblGrid>
      <w:tr>
        <w:trPr/>
        <w:tc>
          <w:tcPr>
            <w:tcW w:w="7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very truly,</w:t>
            </w:r>
          </w:p>
        </w:tc>
      </w:tr>
      <w:tr>
        <w:trPr/>
        <w:tc>
          <w:tcPr>
            <w:tcW w:w="7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STREET CAPITAL MARKETS, LLC</w:t>
            </w:r>
          </w:p>
        </w:tc>
      </w:tr>
      <w:tr>
        <w:trPr/>
        <w:tc>
          <w:tcPr>
            <w:tcW w:w="7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92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6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AEON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AEON Biopharma,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 Biopharma, Inc. (the “Company”) announced today that Lake Street Capital Markets, LLC, the lead book-running manager in the Company’s recent public sale of shares of common stock, is [waiving] [releasing] a lock-up restriction with respect to shares of the Company’s common stock held by [certain officers or directors] [an officer or director] of the Company. The [waiver] [release] will take effect on ____________________, 20__, and the shares may be sold on or after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See attached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TWO-YEAR MILESTONE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See 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FIVE-YEAR MILESTONE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See 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See attached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2" w:name="tm2615250d4_ex4-12.htm"/>
      <w:bookmarkStart w:id="23" w:name="kstm2615250d4_ex412"/>
      <w:bookmarkEnd w:id="22"/>
      <w:bookmarkEnd w:id="23"/>
      <w:r>
        <w:rPr/>
        <w:t> </w:t>
      </w:r>
      <w:r>
        <w:br w:type="page"/>
      </w:r>
    </w:p>
    <w:p>
      <w:pPr>
        <w:pStyle w:val="TextBody"/>
        <w:bidi w:val="0"/>
        <w:jc w:val="right"/>
        <w:rPr>
          <w:b/>
        </w:rPr>
      </w:pPr>
      <w:r>
        <w:rPr>
          <w:b/>
        </w:rPr>
        <w:t>Exhibit 4.12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COMMON STOCK PURCHASE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AEON BIOPHARMA, INC.</w:t>
      </w:r>
    </w:p>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2090"/>
        <w:gridCol w:w="60"/>
        <w:gridCol w:w="4055"/>
      </w:tblGrid>
      <w:tr>
        <w:trPr/>
        <w:tc>
          <w:tcPr>
            <w:tcW w:w="2090" w:type="dxa"/>
            <w:tcBorders/>
            <w:vAlign w:val="center"/>
          </w:tcPr>
          <w:p>
            <w:pPr>
              <w:pStyle w:val="TableContents"/>
              <w:bidi w:val="0"/>
              <w:spacing w:before="0" w:after="283"/>
              <w:jc w:val="left"/>
              <w:rPr>
                <w:sz w:val="20"/>
              </w:rPr>
            </w:pPr>
            <w:r>
              <w:rPr>
                <w:sz w:val="20"/>
              </w:rPr>
              <w:t>Warrant Shares: _______</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right"/>
              <w:rPr/>
            </w:pPr>
            <w:r>
              <w:rPr/>
              <w:t>Initial Exercise Date: _________ __,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_____________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hereof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until this Warrant is exercised in full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AEON Biopharma,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______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The purchase price of one share of Common Stock under this Warrant shall be equal to the Exercise Price, as defined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Underwriting Agreement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dated __, 2026, among the Company and the purchasers signatory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on the Trading Day of receipt of such notice. </w:t>
      </w:r>
      <w:r>
        <w:rPr>
          <w:rFonts w:ascii="Times New Roman;Times;Serif" w:hAnsi="Times New Roman;Times;Serif"/>
          <w:b/>
          <w:i w:val="false"/>
          <w:caps w:val="false"/>
          <w:smallCaps w:val="false"/>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 “</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 Rule 600(b) of Regulation NMS promulgated under the federal securities laws) on such Trading Day, (ii) the highest Bid Price of the Common Stock on the principal Trading Market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withing two (2) hours of the time of the Holder’s delivery of the Notice of Exercise pursuant to Section 2(a)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2(a) hereof after two (2) hours following the close of “regular trading hours” on such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the OTCQX Best Market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Times;Serif" w:hAnsi="Times New Roman;Times;Serif"/>
          <w:b w:val="false"/>
          <w:i w:val="false"/>
          <w:caps w:val="false"/>
          <w:smallCaps w:val="false"/>
          <w:sz w:val="20"/>
          <w:u w:val="single"/>
        </w:rPr>
        <w:t>Pink Market</w:t>
      </w:r>
      <w:r>
        <w:rPr>
          <w:rFonts w:ascii="Times New Roman;Times;Serif" w:hAnsi="Times New Roman;Times;Serif"/>
          <w:b w:val="false"/>
          <w:i w:val="false"/>
          <w:caps w:val="false"/>
          <w:smallCaps w:val="false"/>
          <w:sz w:val="20"/>
        </w:rPr>
        <w: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823"/>
        <w:gridCol w:w="9226"/>
      </w:tblGrid>
      <w:tr>
        <w:trPr/>
        <w:tc>
          <w:tcPr>
            <w:tcW w:w="15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pPr>
            <w:r>
              <w:rPr/>
              <w:t>c)</w:t>
            </w:r>
          </w:p>
        </w:tc>
        <w:tc>
          <w:tcPr>
            <w:tcW w:w="9226" w:type="dxa"/>
            <w:tcBorders/>
            <w:vAlign w:val="center"/>
          </w:tcPr>
          <w:p>
            <w:pPr>
              <w:pStyle w:val="TableContents"/>
              <w:bidi w:val="0"/>
              <w:spacing w:before="0" w:after="283"/>
              <w:jc w:val="both"/>
              <w:rPr/>
            </w:pPr>
            <w:r>
              <w:rPr>
                <w:u w:val="single"/>
              </w:rPr>
              <w:t>Mechanics of Exercise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u w:val="single"/>
              </w:rPr>
              <w:t>Delivery of Warrant Shares Upon Exercise</w:t>
            </w:r>
            <w:r>
              <w:rPr/>
              <w:t>. The Company shall cause the Warrant Shares purchased hereunder to be transmitted by Broadridge Corporate Issuer Solutions, Inc. (the “</w:t>
            </w:r>
            <w:r>
              <w:rPr>
                <w:u w:val="single"/>
              </w:rPr>
              <w:t>Transfer Agent</w:t>
            </w:r>
            <w:r>
              <w:rPr/>
              <w:t>”) to the Holder by crediting the account of the Holder’s or its designee’s balance account with The Depository Trust Company through its Deposit or Withdrawal at Custodian system (“</w:t>
            </w:r>
            <w:r>
              <w:rPr>
                <w:u w:val="single"/>
              </w:rPr>
              <w:t>DWAC</w:t>
            </w:r>
            <w:r>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u w:val="single"/>
              </w:rPr>
              <w:t>Warrant Share Delivery Date</w:t>
            </w:r>
            <w:r>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u w:val="single"/>
              </w:rPr>
              <w:t>Standard Settlement Period</w:t>
            </w:r>
            <w:r>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Underwriting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[9.99/4.99]%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has the meaning set forth in Rule 405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Underwriting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2404" w:type="dxa"/>
        <w:jc w:val="left"/>
        <w:tblInd w:w="0" w:type="dxa"/>
        <w:tblLayout w:type="fixed"/>
        <w:tblCellMar>
          <w:top w:w="0" w:type="dxa"/>
          <w:left w:w="0" w:type="dxa"/>
          <w:bottom w:w="0" w:type="dxa"/>
          <w:right w:w="0" w:type="dxa"/>
        </w:tblCellMar>
      </w:tblPr>
      <w:tblGrid>
        <w:gridCol w:w="75"/>
        <w:gridCol w:w="1808"/>
        <w:gridCol w:w="521"/>
      </w:tblGrid>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AEON BIOPHARMA, INC.</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To:            AEON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2563" w:type="dxa"/>
        <w:jc w:val="left"/>
        <w:tblInd w:w="0" w:type="dxa"/>
        <w:tblLayout w:type="fixed"/>
        <w:tblCellMar>
          <w:top w:w="0" w:type="dxa"/>
          <w:left w:w="0" w:type="dxa"/>
          <w:bottom w:w="0" w:type="dxa"/>
          <w:right w:w="0" w:type="dxa"/>
        </w:tblCellMar>
      </w:tblPr>
      <w:tblGrid>
        <w:gridCol w:w="2525"/>
        <w:gridCol w:w="38"/>
      </w:tblGrid>
      <w:tr>
        <w:trPr/>
        <w:tc>
          <w:tcPr>
            <w:tcW w:w="2525" w:type="dxa"/>
            <w:tcBorders/>
            <w:vAlign w:val="center"/>
          </w:tcPr>
          <w:p>
            <w:pPr>
              <w:pStyle w:val="TableContents"/>
              <w:bidi w:val="0"/>
              <w:spacing w:before="0" w:after="283"/>
              <w:jc w:val="left"/>
              <w:rPr/>
            </w:pPr>
            <w:r>
              <w:rPr/>
              <w:t>Name of Investing Entity: </w:t>
            </w:r>
          </w:p>
        </w:tc>
        <w:tc>
          <w:tcPr>
            <w:tcW w:w="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4558" w:type="dxa"/>
        <w:jc w:val="left"/>
        <w:tblInd w:w="0" w:type="dxa"/>
        <w:tblLayout w:type="fixed"/>
        <w:tblCellMar>
          <w:top w:w="0" w:type="dxa"/>
          <w:left w:w="0" w:type="dxa"/>
          <w:bottom w:w="0" w:type="dxa"/>
          <w:right w:w="0" w:type="dxa"/>
        </w:tblCellMar>
      </w:tblPr>
      <w:tblGrid>
        <w:gridCol w:w="4520"/>
        <w:gridCol w:w="38"/>
      </w:tblGrid>
      <w:tr>
        <w:trPr/>
        <w:tc>
          <w:tcPr>
            <w:tcW w:w="4520" w:type="dxa"/>
            <w:tcBorders/>
            <w:vAlign w:val="center"/>
          </w:tcPr>
          <w:p>
            <w:pPr>
              <w:pStyle w:val="TableContents"/>
              <w:bidi w:val="0"/>
              <w:spacing w:before="0" w:after="283"/>
              <w:jc w:val="left"/>
              <w:rPr/>
            </w:pPr>
            <w:r>
              <w:rPr>
                <w:i/>
                <w:sz w:val="20"/>
              </w:rPr>
              <w:t>Signature of Authorized Signatory of Investing Entity</w:t>
            </w:r>
            <w:r>
              <w:rPr/>
              <w:t xml:space="preserve">: </w:t>
            </w:r>
          </w:p>
        </w:tc>
        <w:tc>
          <w:tcPr>
            <w:tcW w:w="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3103" w:type="dxa"/>
        <w:jc w:val="left"/>
        <w:tblInd w:w="0" w:type="dxa"/>
        <w:tblLayout w:type="fixed"/>
        <w:tblCellMar>
          <w:top w:w="0" w:type="dxa"/>
          <w:left w:w="0" w:type="dxa"/>
          <w:bottom w:w="0" w:type="dxa"/>
          <w:right w:w="0" w:type="dxa"/>
        </w:tblCellMar>
      </w:tblPr>
      <w:tblGrid>
        <w:gridCol w:w="3065"/>
        <w:gridCol w:w="38"/>
      </w:tblGrid>
      <w:tr>
        <w:trPr/>
        <w:tc>
          <w:tcPr>
            <w:tcW w:w="3065" w:type="dxa"/>
            <w:tcBorders/>
            <w:vAlign w:val="center"/>
          </w:tcPr>
          <w:p>
            <w:pPr>
              <w:pStyle w:val="TableContents"/>
              <w:bidi w:val="0"/>
              <w:spacing w:before="0" w:after="283"/>
              <w:jc w:val="left"/>
              <w:rPr/>
            </w:pPr>
            <w:r>
              <w:rPr/>
              <w:t>Name of Authorized Signatory: </w:t>
            </w:r>
          </w:p>
        </w:tc>
        <w:tc>
          <w:tcPr>
            <w:tcW w:w="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2968" w:type="dxa"/>
        <w:jc w:val="left"/>
        <w:tblInd w:w="0" w:type="dxa"/>
        <w:tblLayout w:type="fixed"/>
        <w:tblCellMar>
          <w:top w:w="0" w:type="dxa"/>
          <w:left w:w="0" w:type="dxa"/>
          <w:bottom w:w="0" w:type="dxa"/>
          <w:right w:w="0" w:type="dxa"/>
        </w:tblCellMar>
      </w:tblPr>
      <w:tblGrid>
        <w:gridCol w:w="2930"/>
        <w:gridCol w:w="38"/>
      </w:tblGrid>
      <w:tr>
        <w:trPr/>
        <w:tc>
          <w:tcPr>
            <w:tcW w:w="2930" w:type="dxa"/>
            <w:tcBorders/>
            <w:vAlign w:val="center"/>
          </w:tcPr>
          <w:p>
            <w:pPr>
              <w:pStyle w:val="TableContents"/>
              <w:bidi w:val="0"/>
              <w:spacing w:before="0" w:after="283"/>
              <w:jc w:val="left"/>
              <w:rPr/>
            </w:pPr>
            <w:r>
              <w:rPr/>
              <w:t>Title of Authorized Signatory: </w:t>
            </w:r>
          </w:p>
        </w:tc>
        <w:tc>
          <w:tcPr>
            <w:tcW w:w="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688" w:type="dxa"/>
        <w:jc w:val="left"/>
        <w:tblInd w:w="0" w:type="dxa"/>
        <w:tblLayout w:type="fixed"/>
        <w:tblCellMar>
          <w:top w:w="0" w:type="dxa"/>
          <w:left w:w="0" w:type="dxa"/>
          <w:bottom w:w="0" w:type="dxa"/>
          <w:right w:w="0" w:type="dxa"/>
        </w:tblCellMar>
      </w:tblPr>
      <w:tblGrid>
        <w:gridCol w:w="650"/>
        <w:gridCol w:w="38"/>
      </w:tblGrid>
      <w:tr>
        <w:trPr/>
        <w:tc>
          <w:tcPr>
            <w:tcW w:w="650" w:type="dxa"/>
            <w:tcBorders/>
            <w:vAlign w:val="center"/>
          </w:tcPr>
          <w:p>
            <w:pPr>
              <w:pStyle w:val="TableContents"/>
              <w:bidi w:val="0"/>
              <w:spacing w:before="0" w:after="283"/>
              <w:jc w:val="left"/>
              <w:rPr/>
            </w:pPr>
            <w:r>
              <w:rPr/>
              <w:t>Date:  </w:t>
            </w:r>
          </w:p>
        </w:tc>
        <w:tc>
          <w:tcPr>
            <w:tcW w:w="3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14"/>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4524" w:type="dxa"/>
        <w:jc w:val="left"/>
        <w:tblInd w:w="0" w:type="dxa"/>
        <w:tblLayout w:type="fixed"/>
        <w:tblCellMar>
          <w:top w:w="0" w:type="dxa"/>
          <w:left w:w="0" w:type="dxa"/>
          <w:bottom w:w="0" w:type="dxa"/>
          <w:right w:w="0" w:type="dxa"/>
        </w:tblCellMar>
      </w:tblPr>
      <w:tblGrid>
        <w:gridCol w:w="2951"/>
        <w:gridCol w:w="218"/>
        <w:gridCol w:w="60"/>
        <w:gridCol w:w="1295"/>
      </w:tblGrid>
      <w:tr>
        <w:trPr/>
        <w:tc>
          <w:tcPr>
            <w:tcW w:w="31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Print)</w:t>
            </w:r>
          </w:p>
        </w:tc>
      </w:tr>
      <w:tr>
        <w:trPr/>
        <w:tc>
          <w:tcPr>
            <w:tcW w:w="31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31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69"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(Please Print)</w:t>
            </w:r>
          </w:p>
        </w:tc>
      </w:tr>
      <w:tr>
        <w:trPr/>
        <w:tc>
          <w:tcPr>
            <w:tcW w:w="31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 xml:space="preserve">Phone Number: </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Email Address:</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_______________ __, 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31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2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Signature:</w:t>
            </w:r>
          </w:p>
        </w:tc>
        <w:tc>
          <w:tcPr>
            <w:tcW w:w="218"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2951" w:type="dxa"/>
            <w:tcBorders/>
            <w:vAlign w:val="center"/>
          </w:tcPr>
          <w:p>
            <w:pPr>
              <w:pStyle w:val="TableContents"/>
              <w:bidi w:val="0"/>
              <w:spacing w:before="0" w:after="283"/>
              <w:jc w:val="both"/>
              <w:rPr/>
            </w:pPr>
            <w:r>
              <w:rPr/>
              <w:t> </w:t>
            </w:r>
          </w:p>
        </w:tc>
        <w:tc>
          <w:tcPr>
            <w:tcW w:w="21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2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Address:</w:t>
            </w:r>
          </w:p>
        </w:tc>
        <w:tc>
          <w:tcPr>
            <w:tcW w:w="218"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4" w:name="tm2615250d4_ex4-13.htm"/>
      <w:bookmarkStart w:id="25" w:name="kstm2615250d4_ex413"/>
      <w:bookmarkEnd w:id="24"/>
      <w:bookmarkEnd w:id="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 OR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AEON BIOPHARMA, INC.</w:t>
      </w:r>
    </w:p>
    <w:p>
      <w:pPr>
        <w:pStyle w:val="TextBody"/>
        <w:bidi w:val="0"/>
        <w:spacing w:before="0" w:after="0"/>
        <w:ind w:left="0" w:right="0" w:hanging="0"/>
        <w:jc w:val="left"/>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1310"/>
        <w:gridCol w:w="60"/>
        <w:gridCol w:w="60"/>
        <w:gridCol w:w="60"/>
        <w:gridCol w:w="1190"/>
        <w:gridCol w:w="1175"/>
      </w:tblGrid>
      <w:tr>
        <w:trPr/>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w:t>
            </w:r>
          </w:p>
        </w:tc>
        <w:tc>
          <w:tcPr>
            <w:tcW w:w="1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July [●], 2026</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the earliest of (x) 5:00 p.m. (New York City time) on July [●], 2028, and (y) 45 days after the Company's public announcement that the Company has received Type 2B meeting minutes from the FDA that do not preclude advancement of ABP-450 toward a Biologics License Application under the 351(k) biosimilar pathway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AEON Biopharma,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or Pre-Funded Warrants (as defined below) to purchase the same number of Warrant Shares (as subject to adjustment as provided herein). The purchase price of one share of Common Stock under this Warrant shall be equal to the Exercise Price, as defined in Section 2(b) and the purchase price of one Pre-Funded Warrant shall be equal to the Exercise Price minus the Pre-Funded Warrant Exercise Price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 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means the Class A common stock of the Company, par value $0.0001 per share, and any other class of securities into which such securities may hereafter be reclassified or changed.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Deemed Outstanding</w:t>
      </w:r>
      <w:r>
        <w:rPr>
          <w:rFonts w:ascii="Times New Roman;Times;Serif" w:hAnsi="Times New Roman;Times;Serif"/>
          <w:b w:val="false"/>
          <w:i w:val="false"/>
          <w:caps w:val="false"/>
          <w:smallCaps w:val="false"/>
          <w:sz w:val="20"/>
        </w:rPr>
        <w:t>” means, at any given time, the sum of (a) the number of shares of Common Stock actually outstanding at such time, plus (b) the number of shares of Common Stock issuable upon conversion or exchange of Common Stock Equivalents actually outstanding at such time, regardless of whether the Common Stock Equivalents are actually exercisable at such time; provided, that Common Stock Deemed Outstanding at any given time shall not include shares owned or held by or for the account of the Company or any of its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Initial Exercise Date will be the date of issuance, which is expected to be the Closing Date under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w:t>
      </w:r>
      <w:r>
        <w:rPr>
          <w:rFonts w:ascii="Times New Roman;Times;Serif" w:hAnsi="Times New Roman;Times;Serif"/>
          <w:b w:val="false"/>
          <w:i w:val="false"/>
          <w:caps w:val="false"/>
          <w:smallCaps w:val="false"/>
          <w:sz w:val="20"/>
        </w:rPr>
        <w:t xml:space="preserve">” means a pre-funded warrant to purchase a number of shares of Common Stock equal to the number of Warrant Shares as to which this Warrant is being exercised in the form of a Pre-Funded Warrant attached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 Exercise Price</w:t>
      </w:r>
      <w:r>
        <w:rPr>
          <w:rFonts w:ascii="Times New Roman;Times;Serif" w:hAnsi="Times New Roman;Times;Serif"/>
          <w:b w:val="false"/>
          <w:i w:val="false"/>
          <w:caps w:val="false"/>
          <w:smallCaps w:val="false"/>
          <w:sz w:val="20"/>
        </w:rPr>
        <w:t>” means $0.0001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with a mailing address of 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10004, Attention: Maria Vaz, and an e-mail address of mvaz@continentalstock.com</w:t>
      </w:r>
      <w:r>
        <w:rPr>
          <w:rFonts w:ascii="Times New Roman;Times;Serif" w:hAnsi="Times New Roman;Times;Serif"/>
          <w:b w:val="false"/>
          <w:i w:val="false"/>
          <w:caps w:val="false"/>
          <w:smallCaps w:val="false"/>
          <w:color w:val="002060"/>
          <w:sz w:val="20"/>
        </w:rPr>
        <w:t>,</w:t>
      </w:r>
      <w:r>
        <w:rPr>
          <w:rFonts w:ascii="Times New Roman;Times;Serif" w:hAnsi="Times New Roman;Times;Serif"/>
          <w:b w:val="false"/>
          <w:i w:val="false"/>
          <w:caps w:val="false"/>
          <w:smallCaps w:val="false"/>
          <w:sz w:val="20"/>
        </w:rPr>
        <w:t xml:space="preserve">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Agency Agreement</w:t>
      </w:r>
      <w:r>
        <w:rPr>
          <w:rFonts w:ascii="Times New Roman;Times;Serif" w:hAnsi="Times New Roman;Times;Serif"/>
          <w:b w:val="false"/>
          <w:i w:val="false"/>
          <w:caps w:val="false"/>
          <w:smallCaps w:val="false"/>
          <w:sz w:val="20"/>
        </w:rPr>
        <w:t>” means that certain warrant agency agreement, dated on or about the Initial Exercise Date, between the Company and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Agent</w:t>
      </w:r>
      <w:r>
        <w:rPr>
          <w:rFonts w:ascii="Times New Roman;Times;Serif" w:hAnsi="Times New Roman;Times;Serif"/>
          <w:b w:val="false"/>
          <w:i w:val="false"/>
          <w:caps w:val="false"/>
          <w:smallCaps w:val="false"/>
          <w:sz w:val="20"/>
        </w:rPr>
        <w:t>” means the Transfer Agent and any successor warrant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this Warrant and other warrants to purchase Common Stock issued by the Company in the offering in which this Warrant was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at any time or times on or after the Initial Exercise Date and on or before the Termination Date by delivery to the Company (with a copy to the Warrant Agent (or such other office or agency that the Company may designate by notice in writing to the registered Holder at the address of the Holder appearing on the books of the Company)) of a duly executed facsimile copy or PDF copy submitted by e-mail (or e-mail attachment) of the Notice of Exercise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one (1) Trading Day and (ii) the number of Trading Days comprising the Standard Settlement Period (as defined in Section 2(d)(i) herein) following the date of exercise as aforesaid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xml:space="preserve">”), the Holder shall deliver the aggregate Exercise Price for the Warrant Shares (or, in the event that this Warrant is exercised for Pre-Funded Warrants, the Exercise Price minus the Pre-Funded Warrant Exercise Price)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and to the extent a physical copy is issued to the Holder,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or Pre-Funded Warrants available hereunder shall have the effect of lowering the outstanding number of Warrant Shares or Pre-Funded Warrants purchasable hereunder in an amount equal to the applicable number of Warrant Shares or Pre-Funded Warrants purchased. The Holder and the Warrant Agent shall maintain records showing the number of Warrant Shares or Pre-Funded Warrants purchased and the date of such purchases. The Company shall deliver any objection to any Notice of Exercise within one (1) Trading Day of receipt of such notice. The Holder acknowledges that the Warrant Shares acquired upon the exercise of this Warrant, if issued in restricted book-entry form, will contain a customary legend to the effect that the Warrant Shares are not registered under the Securities Act.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or Pre-Funded Warrants hereunder, the number of Warrant Shares or Pre-Funded Warrants available for purchase hereunder at any given time may be less than the amount stated on the face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In the event this Warrant is exercised for Pre-Funded Warrants, the exercise price per Pre-Funded Warrant under this Warrant shall be $[●], which represents the Exercise Price minus the Pre-Funded Warrant Exercise Price, subject to adjustment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any time or times there is no effective registration statement registering the Warrant Shares, or the prospectus contained therein is not available for the issuance of the Warrant Shares to the Holder, then this Warrant may also be exercised, in whole or in part, at any such time by means of a “cashless exercise” in which the Holder shall be entitled to receive a number of Warrant Shares (but not Pre-Funded Warrants)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(A)</w:t>
            </w:r>
          </w:p>
        </w:tc>
        <w:tc>
          <w:tcPr>
            <w:tcW w:w="9888" w:type="dxa"/>
            <w:tcBorders/>
            <w:vAlign w:val="center"/>
          </w:tcPr>
          <w:p>
            <w:pPr>
              <w:pStyle w:val="TableContents"/>
              <w:bidi w:val="0"/>
              <w:spacing w:before="0" w:after="283"/>
              <w:jc w:val="both"/>
              <w:rPr/>
            </w:pPr>
            <w:r>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535"/>
        <w:gridCol w:w="9610"/>
      </w:tblGrid>
      <w:tr>
        <w:trPr/>
        <w:tc>
          <w:tcPr>
            <w:tcW w:w="6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pPr>
            <w:r>
              <w:rPr/>
              <w:t>(B)</w:t>
            </w:r>
          </w:p>
        </w:tc>
        <w:tc>
          <w:tcPr>
            <w:tcW w:w="9610" w:type="dxa"/>
            <w:tcBorders/>
            <w:vAlign w:val="center"/>
          </w:tcPr>
          <w:p>
            <w:pPr>
              <w:pStyle w:val="TableContents"/>
              <w:bidi w:val="0"/>
              <w:spacing w:before="0" w:after="283"/>
              <w:jc w:val="both"/>
              <w:rPr/>
            </w:pPr>
            <w:r>
              <w:rPr/>
              <w:t>= the Exercise Price of this Warrant, as adjusted hereunder;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(X)</w:t>
            </w:r>
          </w:p>
        </w:tc>
        <w:tc>
          <w:tcPr>
            <w:tcW w:w="9859" w:type="dxa"/>
            <w:tcBorders/>
            <w:vAlign w:val="center"/>
          </w:tcPr>
          <w:p>
            <w:pPr>
              <w:pStyle w:val="TableContents"/>
              <w:bidi w:val="0"/>
              <w:spacing w:before="0" w:after="283"/>
              <w:jc w:val="both"/>
              <w:rPr/>
            </w:pPr>
            <w:r>
              <w:rPr/>
              <w:t>= 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registered characteristics of the Warrants being exercised, and for purposes of Rule 144 under the Securities Act, the holding period of the Warrant Shares, or Pre-Funded Warrants, as applicable being issued may be tacked on to the holding period of this Warrant. The Company agrees not to take any position contrary to this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 of sale restrictions pursuant to Rule 144 promulgated under the Securities Act and this Warrant is being exercised via cashless exercise, and otherwise by electronic book entry by the Transfer Agent, registered in the Transfer Agent’s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and, in the case of each of (i) and (iii), subject to the Company’s receipt of the aggregate Exercise Price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and the Exercise Price has been paid in full (other than in the case of a cashless exercise),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Pre-Funded Warrants Upon Exercise</w:t>
      </w:r>
      <w:r>
        <w:rPr>
          <w:rFonts w:ascii="Times New Roman;Times;Serif" w:hAnsi="Times New Roman;Times;Serif"/>
          <w:b w:val="false"/>
          <w:i w:val="false"/>
          <w:caps w:val="false"/>
          <w:smallCaps w:val="false"/>
          <w:sz w:val="20"/>
        </w:rPr>
        <w:t>. If this Warrant is being exercised for Pre-Funded Warrants, the Company shall cause the Warrant Agent to issue by electronic book entry, registered in the Warrant Agent’s register in the name of the Holder or its designee, Pre-Funded Warrants to purchase a number of shares of Common Stock with respect to which this Warrant is being exercised by the date that is the latest of (i) five (5) Business Days after delivery to the Company of the Notice of Exercise, (ii) five (5) Business Days after delivery of the aggregate Exercise Price minus the Pre-Funded Warrant Exercise Price to the Company and (iii) the number of Trading Days comprising the Standard Settlement Period after delivery to the Company of the Notice of Exercise (such date, the “</w:t>
      </w:r>
      <w:r>
        <w:rPr>
          <w:rFonts w:ascii="Times New Roman;Times;Serif" w:hAnsi="Times New Roman;Times;Serif"/>
          <w:b w:val="false"/>
          <w:i w:val="false"/>
          <w:caps w:val="false"/>
          <w:smallCaps w:val="false"/>
          <w:sz w:val="20"/>
          <w:u w:val="single"/>
        </w:rPr>
        <w:t>Pre-Funded Warrant Delivery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the Holder and upon surrender of this Warrant certificate, at the time of delivery of the Warrant Shares or Pre-Funded Warrants, deliver to the Holder a new Warrant evidencing the rights of the Holder to purchase the unpurchased Warrant Shares or Pre-Funded Warrants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or the Company fails to transmit to the Holder the Pre-Funded Warrants pursuant to Section 2(d)(i) or Section 2(d)(ii), as applicable, by the Warrant Share Delivery Date or the Pre-Funded Warrant Delivery Date, as applicable, then the Holder will have the right to rescind such exercise, and the Company shall return all consideration paid by the Holder for such Warrant Shares or Pre-Funded Warrants, as applicable, upon such rescission. Notwithstanding anything herein to the contrary, the Company shall not be required to make any cash payments to the Holder in lieu of issuance of the Warrant Shares or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Warrant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(pursuant to notice to be sent by the Holder to the Company within ten (10) days following the Warrant Share Delivery Date; if such notice is not provided by that date, the Company shall instead have the right to decide),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warrants, or scrip representing fractional shares shall be issued upon the exercise of this Warrant. As to any fraction of a share or warrant which the Holder would otherwise be entitled to purchase upon such exercise, the Company shall, at its election, either pay a cash adjustment in respect of such final fraction in an amount equal to such fraction multiplied by the Exercise Price, or Exercise Price minus the Pre-Funded Warrant Exercise Price, as applicable, or round up to the next whole share or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or Pre-Funded Warrants shall be made without charge to the Holder for any issue or transfer tax or other incidental expense in respect of the issuance of such Warrant Shares or Pre-Funded Warrants, all of which taxes and expenses shall be paid by the Company, and such Warrant Shares or Pre-Funded Warrants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Warrant Shares or Pre-Funded Warrants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DTC (or another established clearing corporation performing similar functions) required for same-day electronic delivery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(except in the case of an exercise for Pre-Funded Warrants),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will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(2)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[4.99][9.99] % of the number of shares of the Common Stock outstanding immediately after giving effect to the issuance of shares of Common Stock issuable upon exercise of this Warrant. The Holder, upon notice to the Company, may decrease, and subsequently increase or decrease, the Beneficial Ownership Limitation provisions of this Section 2(e), provided that the Beneficial Ownership Limitation in no event exceeds 19.99%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 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3(a)(i)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3(a)(i)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if practicable, shall instead be paid by the Company through the Company’s issuance to the Holder of Pre-Funded Warrants, and otherwise shall be held in abeyance for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if practicable, instead be paid by the Company through the Company’s issuance to the Holder of Pre-Funded Warrants, and otherwise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(excluding a merger effected solely to change the Company’s name), (ii) the Company, directly or indirectly, effects any sale, lease, license, assignment, transfer, conveyance or other disposition of all or substantially all of the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subdivision or combination of shares of Common Stock covered by Section 3(a)(i) above),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that is within the control of the Company, including having received approval by the Company’s Board of Directors,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 the 30-day volatility, (2) the 100 day volatility or (3) the 365-day volatility, each of clauses (1)-(3) as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greater of (1) the sum of the price per share being offered in cash, if any, plus the per share value of any non-cash consideration, if any, being offered in such Fundamental Transaction and (2)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3(a)(iv),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prior to such Fundamental Transaction and shall, at the option of the Holder, deliver to the Holder in exchange for this Warrant, and in lieu of any cash payment,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3(a)(iv) regardless of whether the Company has sufficient authorized shares of Common Stock for the issuance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or Pre-Funded Warrants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(as defined below)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its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Certain Events</w:t>
      </w:r>
      <w:r>
        <w:rPr>
          <w:rFonts w:ascii="Times New Roman;Times;Serif" w:hAnsi="Times New Roman;Times;Serif"/>
          <w:b w:val="false"/>
          <w:i w:val="false"/>
          <w:caps w:val="false"/>
          <w:smallCaps w:val="false"/>
          <w:sz w:val="20"/>
        </w:rPr>
        <w:t>.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Company’s Board of Directors will, in good faith, make an appropriate adjustment to protect the rights of the Holder, provided that no such adjustment pursuant to this Section 3(d) will increase the Exercise Price or decrease the number of Warrant Shares except as determined pursuant to this Section 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 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 in Section 4(d) hereof, this Warrant and all rights hereunder are transferable, in whole or in part, upon surrender of this Warrant at the principal office of the Company or its designated agent (if issued in physical form),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cause the Warrant Agent to deliver a new Warrant or Warrants in the name of the assignee or assignees, as applicable, and in the denomination or denominations specified in such instrument of assignment, and shall cause the Warrant Agent to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or Pre-Funded Warrants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xml:space="preserve"> This Warrant may be divided or combined with other Warrants upon presentation hereof to the Company and the Warrant Agent,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cause the Warrant Agent to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or Pre-Funded Warrants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Warrant Agent shall register this Warrant, upon records to be maintained by the Warrant Agent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promulgated under the Securities Act, the Company may require, as a condition of allowing such transfer, that the Holder or transferee of this Warrant, as the case may be, to deliver a legal opinion of counsel to the transferor to the effect that the transfer is pursuant to an effective registration statement under the Securities Act or pursuant to an available exemption from, or is a transaction not subject to, the registration requirements of the Securities Act and is in accordance with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or Pre-Funded Warrants issuable upon such exercise, for its own account and not with a view to or for distributing or reselling such Warrant Shares or Pre-Funded Warrants or any part thereof in violation of the Securities Act or any applicable state securities law, except pursuant to sales registered or exempted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or the Warrant Agent of evidence reasonably satisfactory to it of the loss, theft, destruction or mutilation of this Warrant or any stock certificate relating to the Warrant Shares or any Pre-Funded Warrants, and in case of loss, theft or destruction, of indemnity or security reasonably satisfactory to it (which, in the case of the Warrant, shall not include the posting of any bond), and upon surrender and cancellation of such Warrant or stock certificate or Pre-Funded Warrant, if mutilated, the Company will cause the Warrant Agent to deliver a new Warrant or stock certificate or Pre-Funded Warrant of like tenor and dated as of such cancellation, in lieu of such Warrant or stock certificate or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or Trading Day, then, such action may be taken or such right may be exercised on the next succeeding Business Day or Trading Day,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or Pre-Funded Warrants upon the exercise of the purchase rights under this Warrant. The Company will take all such reasonable action as may be necessary to assure that such Warrant Shares or Pre-Funded Warrants may be issued as provided herein without violation of any applicable law or regulation, or of any requirements of the Trading Market upon which the Common Stock may be listed. The Company covenants that all Warrant Shares or Pre-Funded Warrants which may be issued upon the exercise of the purchase rights represented by this Warrant will, upon exercise of the purchase rights represented by this Warrant and payment for such Warrant Shares or Pre-Funded Warrants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or Pre-Funded Warrants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or Pre-Funded Warrants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or Pre-Funded Warrants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5 Park Plaza Suite 1750 Irvine, CA 92614, Attention: [●], e-mail address: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date of transmission, if such notice or communication is delivered via e-mail at the e-mail address set forth in this Section 5(h) prior to 5:30 p.m. (New York City time) on any date, (ii) the next Trading Day after the date of transmission, if such notice or communication is delivered via e-mail at the e-mail address set forth in this Section 5(h)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or Pre-Funded Warrants,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or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Holders (or the beneficial owner of this Warrant) representing 67% of the Warrant Shares and Pre-Funded Warrants issuable under the Warrants then outstanding as of the date such consent is sought, on the other hand. Any proposed amendment or waiver that disproportionately, materially and adversely affects the rights and obligations of any Holder relative to the comparable rights and obligations of the other Holders shall require the prior written consent of such adversely affected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Warrant Agency Agreement</w:t>
      </w:r>
      <w:r>
        <w:rPr>
          <w:rFonts w:ascii="Times New Roman;Times;Serif" w:hAnsi="Times New Roman;Times;Serif"/>
          <w:b w:val="false"/>
          <w:i w:val="false"/>
          <w:caps w:val="false"/>
          <w:smallCaps w:val="false"/>
          <w:sz w:val="20"/>
        </w:rPr>
        <w:t>. This Warrant is issued subject to the Warrant Agency Agreement. To the extent any provision of this Warrant conflicts with the express provisions of the Warrant Agency Agreement, the provisions of this Warrant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2404" w:type="dxa"/>
        <w:jc w:val="left"/>
        <w:tblInd w:w="0" w:type="dxa"/>
        <w:tblLayout w:type="fixed"/>
        <w:tblCellMar>
          <w:top w:w="0" w:type="dxa"/>
          <w:left w:w="0" w:type="dxa"/>
          <w:bottom w:w="0" w:type="dxa"/>
          <w:right w:w="0" w:type="dxa"/>
        </w:tblCellMar>
      </w:tblPr>
      <w:tblGrid>
        <w:gridCol w:w="75"/>
        <w:gridCol w:w="724"/>
        <w:gridCol w:w="1605"/>
      </w:tblGrid>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AEON Biopharma, INC.</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pPr>
            <w:r>
              <w:rPr/>
              <w:t> </w:t>
            </w:r>
          </w:p>
        </w:tc>
        <w:tc>
          <w:tcPr>
            <w:tcW w:w="1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pPr>
            <w:r>
              <w:rPr/>
              <w:t> </w:t>
            </w:r>
          </w:p>
        </w:tc>
        <w:tc>
          <w:tcPr>
            <w:tcW w:w="1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350"/>
        <w:gridCol w:w="60"/>
        <w:gridCol w:w="2225"/>
      </w:tblGrid>
      <w:tr>
        <w:trPr/>
        <w:tc>
          <w:tcPr>
            <w:tcW w:w="35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To:</w:t>
            </w:r>
          </w:p>
        </w:tc>
        <w:tc>
          <w:tcPr>
            <w:tcW w:w="60" w:type="dxa"/>
            <w:tcBorders/>
            <w:vAlign w:val="center"/>
          </w:tcPr>
          <w:p>
            <w:pPr>
              <w:pStyle w:val="TableContents"/>
              <w:bidi w:val="0"/>
              <w:spacing w:before="0" w:after="283"/>
              <w:jc w:val="left"/>
              <w:rPr>
                <w:caps/>
              </w:rPr>
            </w:pPr>
            <w:r>
              <w:rPr>
                <w:caps/>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AEON BioPharma,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Shares][Pre-Funded Warrants]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both"/>
        <w:rPr>
          <w:caps w:val="false"/>
          <w:smallCaps w:val="false"/>
        </w:rPr>
      </w:pPr>
      <w:r>
        <w:rPr>
          <w:caps w:val="false"/>
          <w:smallCaps w:val="false"/>
        </w:rPr>
        <w:t>  ☐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1800" w:right="0" w:hanging="0"/>
        <w:jc w:val="both"/>
        <w:rPr>
          <w:caps w:val="false"/>
          <w:smallCaps w:val="false"/>
        </w:rPr>
      </w:pPr>
      <w:r>
        <w:rPr>
          <w:caps w:val="false"/>
          <w:smallCaps w:val="false"/>
        </w:rPr>
        <w:t>  ☐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Shares][Pre-Funded Warrants]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by the terms of the Warrant, the Warrant Shares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undersigned is an “accredited investor” as defined in Regulation D promulgated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2623" w:type="dxa"/>
        <w:jc w:val="left"/>
        <w:tblInd w:w="0" w:type="dxa"/>
        <w:tblLayout w:type="fixed"/>
        <w:tblCellMar>
          <w:top w:w="0" w:type="dxa"/>
          <w:left w:w="0" w:type="dxa"/>
          <w:bottom w:w="0" w:type="dxa"/>
          <w:right w:w="0" w:type="dxa"/>
        </w:tblCellMar>
      </w:tblPr>
      <w:tblGrid>
        <w:gridCol w:w="2525"/>
        <w:gridCol w:w="23"/>
        <w:gridCol w:w="75"/>
      </w:tblGrid>
      <w:tr>
        <w:trPr/>
        <w:tc>
          <w:tcPr>
            <w:tcW w:w="2525" w:type="dxa"/>
            <w:tcBorders/>
            <w:vAlign w:val="center"/>
          </w:tcPr>
          <w:p>
            <w:pPr>
              <w:pStyle w:val="TableContents"/>
              <w:bidi w:val="0"/>
              <w:spacing w:before="0" w:after="283"/>
              <w:jc w:val="left"/>
              <w:rPr/>
            </w:pPr>
            <w:r>
              <w:rPr/>
              <w:t>Name of Investing Entity: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18" w:type="dxa"/>
        <w:jc w:val="left"/>
        <w:tblInd w:w="0" w:type="dxa"/>
        <w:tblLayout w:type="fixed"/>
        <w:tblCellMar>
          <w:top w:w="0" w:type="dxa"/>
          <w:left w:w="0" w:type="dxa"/>
          <w:bottom w:w="0" w:type="dxa"/>
          <w:right w:w="0" w:type="dxa"/>
        </w:tblCellMar>
      </w:tblPr>
      <w:tblGrid>
        <w:gridCol w:w="4520"/>
        <w:gridCol w:w="23"/>
        <w:gridCol w:w="75"/>
      </w:tblGrid>
      <w:tr>
        <w:trPr/>
        <w:tc>
          <w:tcPr>
            <w:tcW w:w="4520" w:type="dxa"/>
            <w:tcBorders/>
            <w:vAlign w:val="center"/>
          </w:tcPr>
          <w:p>
            <w:pPr>
              <w:pStyle w:val="TableContents"/>
              <w:bidi w:val="0"/>
              <w:spacing w:before="0" w:after="283"/>
              <w:jc w:val="left"/>
              <w:rPr/>
            </w:pPr>
            <w:r>
              <w:rPr>
                <w:i/>
                <w:sz w:val="20"/>
              </w:rPr>
              <w:t>Signature of Authorized Signatory of Investing Entity</w:t>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163" w:type="dxa"/>
        <w:jc w:val="left"/>
        <w:tblInd w:w="0" w:type="dxa"/>
        <w:tblLayout w:type="fixed"/>
        <w:tblCellMar>
          <w:top w:w="0" w:type="dxa"/>
          <w:left w:w="0" w:type="dxa"/>
          <w:bottom w:w="0" w:type="dxa"/>
          <w:right w:w="0" w:type="dxa"/>
        </w:tblCellMar>
      </w:tblPr>
      <w:tblGrid>
        <w:gridCol w:w="3065"/>
        <w:gridCol w:w="23"/>
        <w:gridCol w:w="75"/>
      </w:tblGrid>
      <w:tr>
        <w:trPr/>
        <w:tc>
          <w:tcPr>
            <w:tcW w:w="3065" w:type="dxa"/>
            <w:tcBorders/>
            <w:vAlign w:val="center"/>
          </w:tcPr>
          <w:p>
            <w:pPr>
              <w:pStyle w:val="TableContents"/>
              <w:bidi w:val="0"/>
              <w:spacing w:before="0" w:after="283"/>
              <w:jc w:val="left"/>
              <w:rPr/>
            </w:pPr>
            <w:r>
              <w:rPr/>
              <w:t>Name of Authorized Signatory: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28" w:type="dxa"/>
        <w:jc w:val="left"/>
        <w:tblInd w:w="0" w:type="dxa"/>
        <w:tblLayout w:type="fixed"/>
        <w:tblCellMar>
          <w:top w:w="0" w:type="dxa"/>
          <w:left w:w="0" w:type="dxa"/>
          <w:bottom w:w="0" w:type="dxa"/>
          <w:right w:w="0" w:type="dxa"/>
        </w:tblCellMar>
      </w:tblPr>
      <w:tblGrid>
        <w:gridCol w:w="2930"/>
        <w:gridCol w:w="23"/>
        <w:gridCol w:w="75"/>
      </w:tblGrid>
      <w:tr>
        <w:trPr/>
        <w:tc>
          <w:tcPr>
            <w:tcW w:w="2930" w:type="dxa"/>
            <w:tcBorders/>
            <w:vAlign w:val="center"/>
          </w:tcPr>
          <w:p>
            <w:pPr>
              <w:pStyle w:val="TableContents"/>
              <w:bidi w:val="0"/>
              <w:spacing w:before="0" w:after="283"/>
              <w:jc w:val="left"/>
              <w:rPr/>
            </w:pPr>
            <w:r>
              <w:rPr/>
              <w:t>Title of Authorized Signatory: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43" w:type="dxa"/>
        <w:jc w:val="left"/>
        <w:tblInd w:w="0" w:type="dxa"/>
        <w:tblLayout w:type="fixed"/>
        <w:tblCellMar>
          <w:top w:w="0" w:type="dxa"/>
          <w:left w:w="0" w:type="dxa"/>
          <w:bottom w:w="0" w:type="dxa"/>
          <w:right w:w="0" w:type="dxa"/>
        </w:tblCellMar>
      </w:tblPr>
      <w:tblGrid>
        <w:gridCol w:w="545"/>
        <w:gridCol w:w="23"/>
        <w:gridCol w:w="75"/>
      </w:tblGrid>
      <w:tr>
        <w:trPr/>
        <w:tc>
          <w:tcPr>
            <w:tcW w:w="545" w:type="dxa"/>
            <w:tcBorders/>
            <w:vAlign w:val="center"/>
          </w:tcPr>
          <w:p>
            <w:pPr>
              <w:pStyle w:val="TableContents"/>
              <w:bidi w:val="0"/>
              <w:spacing w:before="0" w:after="283"/>
              <w:jc w:val="left"/>
              <w:rPr/>
            </w:pPr>
            <w:r>
              <w:rPr/>
              <w:t>Date:</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4524" w:type="dxa"/>
        <w:jc w:val="left"/>
        <w:tblInd w:w="0" w:type="dxa"/>
        <w:tblLayout w:type="fixed"/>
        <w:tblCellMar>
          <w:top w:w="0" w:type="dxa"/>
          <w:left w:w="0" w:type="dxa"/>
          <w:bottom w:w="0" w:type="dxa"/>
          <w:right w:w="0" w:type="dxa"/>
        </w:tblCellMar>
      </w:tblPr>
      <w:tblGrid>
        <w:gridCol w:w="2951"/>
        <w:gridCol w:w="218"/>
        <w:gridCol w:w="60"/>
        <w:gridCol w:w="1295"/>
      </w:tblGrid>
      <w:tr>
        <w:trPr/>
        <w:tc>
          <w:tcPr>
            <w:tcW w:w="31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Print)</w:t>
            </w:r>
          </w:p>
        </w:tc>
      </w:tr>
      <w:tr>
        <w:trPr/>
        <w:tc>
          <w:tcPr>
            <w:tcW w:w="31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31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69"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(Please Print)</w:t>
            </w:r>
          </w:p>
        </w:tc>
      </w:tr>
      <w:tr>
        <w:trPr/>
        <w:tc>
          <w:tcPr>
            <w:tcW w:w="31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 xml:space="preserve">Phone Number: </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Email Address:</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_______________ __, 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31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2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Signature:</w:t>
            </w:r>
          </w:p>
        </w:tc>
        <w:tc>
          <w:tcPr>
            <w:tcW w:w="218"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2951" w:type="dxa"/>
            <w:tcBorders/>
            <w:vAlign w:val="center"/>
          </w:tcPr>
          <w:p>
            <w:pPr>
              <w:pStyle w:val="TableContents"/>
              <w:bidi w:val="0"/>
              <w:spacing w:before="0" w:after="283"/>
              <w:jc w:val="both"/>
              <w:rPr/>
            </w:pPr>
            <w:r>
              <w:rPr/>
              <w:t> </w:t>
            </w:r>
          </w:p>
        </w:tc>
        <w:tc>
          <w:tcPr>
            <w:tcW w:w="21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2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Address:</w:t>
            </w:r>
          </w:p>
        </w:tc>
        <w:tc>
          <w:tcPr>
            <w:tcW w:w="218"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center"/>
        <w:rPr>
          <w:caps w:val="false"/>
          <w:smallCaps w:val="false"/>
        </w:rPr>
      </w:pPr>
      <w:bookmarkStart w:id="26" w:name="tm2615250d4_ex4-14.htm"/>
      <w:bookmarkStart w:id="27" w:name="kstm2615250d4_ex414"/>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 OR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AEON BIOPHARMA, INC.</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2075"/>
        <w:gridCol w:w="3785"/>
      </w:tblGrid>
      <w:tr>
        <w:trPr/>
        <w:tc>
          <w:tcPr>
            <w:tcW w:w="2075" w:type="dxa"/>
            <w:tcBorders/>
            <w:vAlign w:val="center"/>
          </w:tcPr>
          <w:p>
            <w:pPr>
              <w:pStyle w:val="TableContents"/>
              <w:bidi w:val="0"/>
              <w:spacing w:before="0" w:after="283"/>
              <w:ind w:left="0" w:right="0" w:hanging="200"/>
              <w:jc w:val="left"/>
              <w:rPr>
                <w:sz w:val="20"/>
              </w:rPr>
            </w:pPr>
            <w:r>
              <w:rPr>
                <w:sz w:val="20"/>
              </w:rPr>
              <w:t>Warrant Shares: _______</w:t>
            </w:r>
          </w:p>
        </w:tc>
        <w:tc>
          <w:tcPr>
            <w:tcW w:w="3785" w:type="dxa"/>
            <w:tcBorders/>
            <w:vAlign w:val="center"/>
          </w:tcPr>
          <w:p>
            <w:pPr>
              <w:pStyle w:val="TableContents"/>
              <w:bidi w:val="0"/>
              <w:spacing w:before="0" w:after="283"/>
              <w:jc w:val="left"/>
              <w:rPr/>
            </w:pPr>
            <w:r>
              <w:rPr/>
              <w:t>     </w:t>
            </w:r>
            <w:r>
              <w:rPr>
                <w:sz w:val="20"/>
              </w:rPr>
              <w:tab/>
              <w:t>     </w:t>
              <w:tab/>
              <w:t>     </w:t>
              <w:tab/>
              <w:t>     </w:t>
            </w:r>
            <w:r>
              <w:rPr/>
              <w:t>Issuance Date: July [●],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THIS WARRANT (the “</w:t>
      </w:r>
      <w:r>
        <w:rPr>
          <w:rFonts w:ascii="Times New Roman;Times;Serif" w:hAnsi="Times New Roman;Times;Serif"/>
          <w:b w:val="false"/>
          <w:i w:val="false"/>
          <w:caps w:val="false"/>
          <w:smallCaps w:val="false"/>
          <w:color w:val="000000"/>
          <w:sz w:val="20"/>
          <w:u w:val="single"/>
        </w:rPr>
        <w:t>Warrant</w:t>
      </w:r>
      <w:r>
        <w:rPr>
          <w:rFonts w:ascii="Times New Roman;Times;Serif" w:hAnsi="Times New Roman;Times;Serif"/>
          <w:b w:val="false"/>
          <w:i w:val="false"/>
          <w:caps w:val="false"/>
          <w:smallCaps w:val="false"/>
          <w:color w:val="000000"/>
          <w:sz w:val="20"/>
        </w:rPr>
        <w:t>”) certifies that, for value received, [●] or its assigns (the “</w:t>
      </w:r>
      <w:r>
        <w:rPr>
          <w:rFonts w:ascii="Times New Roman;Times;Serif" w:hAnsi="Times New Roman;Times;Serif"/>
          <w:b w:val="false"/>
          <w:i w:val="false"/>
          <w:caps w:val="false"/>
          <w:smallCaps w:val="false"/>
          <w:color w:val="000000"/>
          <w:sz w:val="20"/>
          <w:u w:val="single"/>
        </w:rPr>
        <w:t>Holder</w:t>
      </w:r>
      <w:r>
        <w:rPr>
          <w:rFonts w:ascii="Times New Roman;Times;Serif" w:hAnsi="Times New Roman;Times;Serif"/>
          <w:b w:val="false"/>
          <w:i w:val="false"/>
          <w:caps w:val="false"/>
          <w:smallCaps w:val="false"/>
          <w:color w:val="000000"/>
          <w:sz w:val="20"/>
        </w:rPr>
        <w:t>”) is entitled, upon the terms and subject to the limitations on exercise and the conditions hereinafter set forth, at any time on or after July [●], 2026</w:t>
      </w:r>
      <w:r>
        <w:rPr>
          <w:rFonts w:ascii="Times New Roman;Times;Serif" w:hAnsi="Times New Roman;Times;Serif"/>
          <w:b w:val="false"/>
          <w:i w:val="false"/>
          <w:caps w:val="false"/>
          <w:smallCaps w:val="false"/>
          <w:color w:val="000000"/>
          <w:position w:val="7"/>
          <w:sz w:val="16"/>
          <w:sz w:val="20"/>
        </w:rPr>
        <w:t>1</w:t>
      </w:r>
      <w:r>
        <w:rPr>
          <w:rFonts w:ascii="Times New Roman;Times;Serif" w:hAnsi="Times New Roman;Times;Serif"/>
          <w:b w:val="false"/>
          <w:i w:val="false"/>
          <w:caps w:val="false"/>
          <w:smallCaps w:val="false"/>
          <w:color w:val="000000"/>
          <w:sz w:val="20"/>
        </w:rPr>
        <w:t xml:space="preserve"> (the “</w:t>
      </w:r>
      <w:r>
        <w:rPr>
          <w:rFonts w:ascii="Times New Roman;Times;Serif" w:hAnsi="Times New Roman;Times;Serif"/>
          <w:b w:val="false"/>
          <w:i w:val="false"/>
          <w:caps w:val="false"/>
          <w:smallCaps w:val="false"/>
          <w:color w:val="000000"/>
          <w:sz w:val="20"/>
          <w:u w:val="single"/>
        </w:rPr>
        <w:t>Initial Exercise Date</w:t>
      </w:r>
      <w:r>
        <w:rPr>
          <w:rFonts w:ascii="Times New Roman;Times;Serif" w:hAnsi="Times New Roman;Times;Serif"/>
          <w:b w:val="false"/>
          <w:i w:val="false"/>
          <w:caps w:val="false"/>
          <w:smallCaps w:val="false"/>
          <w:color w:val="000000"/>
          <w:sz w:val="20"/>
        </w:rPr>
        <w:t xml:space="preserve">”) and on or prior to the earliest of (x) 5:00 p.m. (New York City time) on July [●], 2031, and (y) 45 days following the Company's public announcement of the </w:t>
      </w:r>
      <w:r>
        <w:rPr>
          <w:rFonts w:ascii="Times New Roman;Times;Serif" w:hAnsi="Times New Roman;Times;Serif"/>
          <w:b w:val="false"/>
          <w:i w:val="false"/>
          <w:caps w:val="false"/>
          <w:smallCaps w:val="false"/>
          <w:sz w:val="20"/>
        </w:rPr>
        <w:t>initiation of a Phase 3 clinical equivalence trial of ABP-450 as a Botox® biosimilar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AEON Biopharma,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or Pre-Funded Warrants (as defined below) to purchase the same number of Warrant Shares (as subject to adjustment as provided herein). The purchase price of one share of Common Stock under this Warrant shall be equal to the Exercise Price, as defined in Section 2(b) and the purchase price of one Pre-Funded Warrant shall be equal to the Exercise Price minus the Pre-Funded Warrant Exercise Price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 Definitions</w:t>
      </w:r>
      <w:r>
        <w:rPr>
          <w:rFonts w:ascii="Times New Roman;Times;Serif" w:hAnsi="Times New Roman;Times;Serif"/>
          <w:b w:val="false"/>
          <w:i w:val="false"/>
          <w:caps w:val="false"/>
          <w:smallCaps w:val="false"/>
          <w:sz w:val="20"/>
        </w:rPr>
        <w:t>. In addition to the terms defined elsewhere in this Warrant, the following terms have the meanings indicated in this Section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Class A common stock of the Company, par value $0.0001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Initial Exercise Date will be the date of issuance, which is expected to be the Closing Date under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Deemed Outstanding</w:t>
      </w:r>
      <w:r>
        <w:rPr>
          <w:rFonts w:ascii="Times New Roman;Times;Serif" w:hAnsi="Times New Roman;Times;Serif"/>
          <w:b w:val="false"/>
          <w:i w:val="false"/>
          <w:caps w:val="false"/>
          <w:smallCaps w:val="false"/>
          <w:sz w:val="20"/>
        </w:rPr>
        <w:t>” means, at any given time, the sum of (a) the number of shares of Common Stock actually outstanding at such time, plus (b) the number of shares of Common Stock issuable upon conversion or exchange of Common Stock Equivalents actually outstanding at such time, regardless of whether the Common Stock Equivalents are actually exercisable at such time; provided, that Common Stock Deemed Outstanding at any given time shall not include shares owned or held by or for the account of the Company or any of its wholly-owned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w:t>
      </w:r>
      <w:r>
        <w:rPr>
          <w:rFonts w:ascii="Times New Roman;Times;Serif" w:hAnsi="Times New Roman;Times;Serif"/>
          <w:b w:val="false"/>
          <w:i w:val="false"/>
          <w:caps w:val="false"/>
          <w:smallCaps w:val="false"/>
          <w:sz w:val="20"/>
        </w:rPr>
        <w:t xml:space="preserve">” means a pre-funded warrant to purchase a number of shares of Common Stock equal to the number of Warrant Shares as to which this Warrant is being exercised in the form of a Pre-Funded Warrant attached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Pre-Funded Warrant Exercise Price</w:t>
      </w:r>
      <w:r>
        <w:rPr>
          <w:rFonts w:ascii="Times New Roman;Times;Serif" w:hAnsi="Times New Roman;Times;Serif"/>
          <w:b w:val="false"/>
          <w:i w:val="false"/>
          <w:caps w:val="false"/>
          <w:smallCaps w:val="false"/>
          <w:sz w:val="20"/>
        </w:rPr>
        <w:t>” means $0.0001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Stock is traded on a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with a mailing address of 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10004, Attention: Maria Vaz, and an e-mail address of mvaz@continentalstock.com</w:t>
      </w:r>
      <w:r>
        <w:rPr>
          <w:rFonts w:ascii="Times New Roman;Times;Serif" w:hAnsi="Times New Roman;Times;Serif"/>
          <w:b w:val="false"/>
          <w:i w:val="false"/>
          <w:caps w:val="false"/>
          <w:smallCaps w:val="false"/>
          <w:color w:val="002060"/>
          <w:sz w:val="20"/>
        </w:rPr>
        <w:t>,</w:t>
      </w:r>
      <w:r>
        <w:rPr>
          <w:rFonts w:ascii="Times New Roman;Times;Serif" w:hAnsi="Times New Roman;Times;Serif"/>
          <w:b w:val="false"/>
          <w:i w:val="false"/>
          <w:caps w:val="false"/>
          <w:smallCaps w:val="false"/>
          <w:sz w:val="20"/>
        </w:rPr>
        <w:t xml:space="preserve">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Agency Agreement</w:t>
      </w:r>
      <w:r>
        <w:rPr>
          <w:rFonts w:ascii="Times New Roman;Times;Serif" w:hAnsi="Times New Roman;Times;Serif"/>
          <w:b w:val="false"/>
          <w:i w:val="false"/>
          <w:caps w:val="false"/>
          <w:smallCaps w:val="false"/>
          <w:sz w:val="20"/>
        </w:rPr>
        <w:t>” means that certain warrant agency agreement, dated on or about the Initial Exercise Date, between the Company and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Agent</w:t>
      </w:r>
      <w:r>
        <w:rPr>
          <w:rFonts w:ascii="Times New Roman;Times;Serif" w:hAnsi="Times New Roman;Times;Serif"/>
          <w:b w:val="false"/>
          <w:i w:val="false"/>
          <w:caps w:val="false"/>
          <w:smallCaps w:val="false"/>
          <w:sz w:val="20"/>
        </w:rPr>
        <w:t>” means the Transfer Agent and any successor warrant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this Warrant and other warrants to purchase Common Stock issued by the Company in the offering in which this Warrant was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at any time or times on or after the Initial Exercise Date and on or before the Termination Date by delivery to the Company (with a copy to the Warrant Agent (or such other office or agency that the Company may designate by notice in writing to the registered Holder at the address of the Holder appearing on the books of the Company)) of a duly executed facsimile copy or PDF copy submitted by e-mail (or e-mail attachment) of the Notice of Exercise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one (1) Trading Day and (ii) the number of Trading Days comprising the Standard Settlement Period (as defined in Section 2(d)(i) herein) following the date of exercise as aforesaid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xml:space="preserve">”), the Holder shall deliver the aggregate Exercise Price for the Warrant Shares (or, in the event that this Warrant is exercised for Pre-Funded Warrants, the Exercise Price minus the Pre-Funded Warrant Exercise Price)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and to the extent a physical copy is issued to the Holder,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or Pre-Funded Warrants available hereunder shall have the effect of lowering the outstanding number of Warrant Shares or Pre-Funded Warrants purchasable hereunder in an amount equal to the applicable number of Warrant Shares or Pre-Funded Warrants purchased. The Holder and the Warrant Agent shall maintain records showing the number of Warrant Shares or Pre-Funded Warrants purchased and the date of such purchases. The Company shall deliver any objection to any Notice of Exercise within one (1) Trading Day of receipt of such notice. The Holder acknowledges that the Warrant Shares acquired upon the exercise of this Warrant, if issued in restricted book-entry form, will contain a customary legend to the effect that the Warrant Shares are not registered under the Securities Act.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or Pre-Funded Warrants hereunder, the number of Warrant Shares or Pre-Funded Warrants available for purchase hereunder at any given time may be less than the amount stated on the face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In the event this Warrant is exercised for Pre-Funded Warrants, the exercise price per Pre-Funded Warrant under this Warrant shall be $[●], which represents the Exercise Price minus the Pre-Funded Warrant Exercise Price, subject to adjustment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any time or times there is no effective registration statement registering the Warrant Shares, or the prospectus contained therein is not available for the issuance of the Warrant Shares to the Holder, then this Warrant may also be exercised, in whole or in part, at any such time by means of a “cashless exercise” in which the Holder shall be entitled to receive a number of Warrant Shares (but not Pre-Funded Warrants)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0"/>
        <w:gridCol w:w="9887"/>
      </w:tblGrid>
      <w:tr>
        <w:trPr/>
        <w:tc>
          <w:tcPr>
            <w:tcW w:w="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(A)</w:t>
            </w:r>
          </w:p>
        </w:tc>
        <w:tc>
          <w:tcPr>
            <w:tcW w:w="9887" w:type="dxa"/>
            <w:tcBorders/>
            <w:vAlign w:val="center"/>
          </w:tcPr>
          <w:p>
            <w:pPr>
              <w:pStyle w:val="TableContents"/>
              <w:bidi w:val="0"/>
              <w:spacing w:before="0" w:after="283"/>
              <w:jc w:val="both"/>
              <w:rPr/>
            </w:pPr>
            <w:r>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335"/>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6020" w:type="dxa"/>
            <w:tcBorders/>
            <w:vAlign w:val="center"/>
          </w:tcPr>
          <w:p>
            <w:pPr>
              <w:pStyle w:val="TableContents"/>
              <w:bidi w:val="0"/>
              <w:spacing w:before="0" w:after="283"/>
              <w:jc w:val="both"/>
              <w:rPr/>
            </w:pPr>
            <w:r>
              <w:rPr/>
              <w:t>= the Exercise Price of this Warrant, as adjusted hereunder;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(X)</w:t>
            </w:r>
          </w:p>
        </w:tc>
        <w:tc>
          <w:tcPr>
            <w:tcW w:w="9858" w:type="dxa"/>
            <w:tcBorders/>
            <w:vAlign w:val="center"/>
          </w:tcPr>
          <w:p>
            <w:pPr>
              <w:pStyle w:val="TableContents"/>
              <w:bidi w:val="0"/>
              <w:spacing w:before="0" w:after="283"/>
              <w:jc w:val="both"/>
              <w:rPr/>
            </w:pPr>
            <w:r>
              <w:rPr/>
              <w:t>= 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registered characteristics of the Warrants being exercised, and for purposes of Rule 144 under the Securities Act, the holding period of the Warrant Shares, or Pre-Funded Warrants, as applicable being issued may be tacked on to the holding period of this Warrant. The Company agrees not to take any position contrary to this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 of sale restrictions pursuant to Rule 144 promulgated under the Securities Act and this Warrant is being exercised via cashless exercise, and otherwise by electronic book entry by the Transfer Agent, registered in the Transfer Agent’s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and, in the case of each of (i) and (iii), subject to the Company’s receipt of the aggregate Exercise Price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and the Exercise Price has been paid in full (other than in the case of a cashless exercise),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Pre-Funded Warrants Upon Exercise</w:t>
      </w:r>
      <w:r>
        <w:rPr>
          <w:rFonts w:ascii="Times New Roman;Times;Serif" w:hAnsi="Times New Roman;Times;Serif"/>
          <w:b w:val="false"/>
          <w:i w:val="false"/>
          <w:caps w:val="false"/>
          <w:smallCaps w:val="false"/>
          <w:sz w:val="20"/>
        </w:rPr>
        <w:t>. If this Warrant is being exercised for Pre-Funded Warrants, the Company shall cause the Warrant Agent to issue by electronic book entry, registered in the Warrant Agent’s register in the name of the Holder or its designee, Pre-Funded Warrants to purchase a number of shares of Common Stock with respect to which this Warrant is being exercised by the date that is the latest of (i) five (5) Business Days after delivery to the Company of the Notice of Exercise, (ii) five (5) Business Days after delivery of the aggregate Exercise Price minus the Pre-Funded Warrant Exercise Price to the Company and (iii) the number of Trading Days comprising the Standard Settlement Period after delivery to the Company of the Notice of Exercise (such date, the “</w:t>
      </w:r>
      <w:r>
        <w:rPr>
          <w:rFonts w:ascii="Times New Roman;Times;Serif" w:hAnsi="Times New Roman;Times;Serif"/>
          <w:b w:val="false"/>
          <w:i w:val="false"/>
          <w:caps w:val="false"/>
          <w:smallCaps w:val="false"/>
          <w:sz w:val="20"/>
          <w:u w:val="single"/>
        </w:rPr>
        <w:t>Pre-Funded Warrant Delivery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the Holder and upon surrender of this Warrant certificate, at the time of delivery of the Warrant Shares or Pre-Funded Warrants, deliver to the Holder a new Warrant evidencing the rights of the Holder to purchase the unpurchased Warrant Shares or Pre-Funded Warrants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or the Company fails to transmit to the Holder the Pre-Funded Warrants pursuant to Section 2(d)(i) or Section 2(d)(ii), as applicable, by the Warrant Share Delivery Date or the Pre-Funded Warrant Delivery Date, as applicable, then the Holder will have the right to rescind such exercise, and the Company shall return all consideration paid by the Holder for such Warrant Shares or Pre-Funded Warrants, as applicable, upon such rescission. Notwithstanding anything herein to the contrary, the Company shall not be required to make any cash payments to the Holder in lieu of issuance of the Warrant Shares or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Warrant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(pursuant to notice to be sent by the Holder to the Company within ten (10) days following the Warrant Share Delivery Date; if such notice is not provided by that date, the Company shall instead have the right to decide),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warrants, or scrip representing fractional shares shall be issued upon the exercise of this Warrant. As to any fraction of a share or warrant which the Holder would otherwise be entitled to purchase upon such exercise, the Company shall, at its election, either pay a cash adjustment in respect of such final fraction in an amount equal to such fraction multiplied by the Exercise Price, or Exercise Price minus the Pre-Funded Warrant Exercise Price, as applicable, or round up to the next whole share or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or Pre-Funded Warrants shall be made without charge to the Holder for any issue or transfer tax or other incidental expense in respect of the issuance of such Warrant Shares or Pre-Funded Warrants, all of which taxes and expenses shall be paid by the Company, and such Warrant Shares or Pre-Funded Warrants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Warrant Shares or Pre-Funded Warrants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DTC (or another established clearing corporation performing similar functions) required for same-day electronic delivery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(except in the case of an exercise for Pre-Funded Warrants), to the extent that after giving effect to such issuance after exercise as set forth on the applicable Notice of Exercise, the Holder (together with the Holder’s Affiliates, any other Persons acting as a group together with the Holder or any of the Holder’s Affiliates, and any other Persons whose beneficial ownership of the shares of Common Stock would or could be aggregated with the Holder’s for the purposes of Section 13(d) of the Exchange Act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To ensure compliance with this restriction, each Holder will be deemed to represent to the Company each time it delivers a Notice of Exercise that such Notice of Exercise has not violated the restrictions set forth in this paragraph,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(2)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[4.99][9.99] % of the number of shares of the Common Stock outstanding immediately after giving effect to the issuance of shares of Common Stock issuable upon exercise of this Warrant. The Holder, upon notice to the Company, may decrease, and subsequently increase or decrease, the Beneficial Ownership Limitation provisions of this Section 2(e), provided that the Beneficial Ownership Limitation in no event exceeds 19.99%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3(a)(i)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3(a)(i) above, if at any time the Company grants, issues or sells any Common Stock Equivalents or rights to purchase stock, warrants, securities or other property pro rata to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if practicable, shall instead be paid by the Company through the Company’s issuance to the Holder of Pre-Funded Warrants, and otherwise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if practicable, instead be paid by the Company through the Company’s issuance to the Holder of Pre-Funded Warrants, and otherwise shall be held in abeyance for the Holder until such time, if ever, as its right thereto would not result in the Holder exceeding the Beneficial Ownership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(excluding a merger effected solely to change the Company’s name), (ii) the Company, directly or indirectly, effects any sale, lease, license, assignment, transfer, conveyance or other disposition of all or substantially all of the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as a result of a subdivision or combination of shares of Common Stock covered by Section 3(a)(i) above),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that is within the control of the Company, including having received approval by the Company’s Board of Directors,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 the 30-day volatility, (2) the 100 day volatility or (3) the 365-day volatility, each of clauses (1)-(3) as obtained from the HVT function on Bloomberg (determined utilizing a 365-day annualization factor) as of the Trading Day immediately following the public announcement of the applicable contemplated Fundamental Transaction, (C) the underlying price per share used in such calculation shall be the greater of (1) the sum of the price per share being offered in cash, if any, plus the per share value of any non-cash consideration, if any, being offered in such Fundamental Transaction and (2)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3(a)(iv),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prior to such Fundamental Transaction and shall, at the option of the Holder, deliver to the Holder in exchange for this Warrant, and in lieu of any cash payment,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3(a)(iv) regardless of whether the Company has sufficient authorized shares of Common Stock for the issuance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or Pre-Funded Warrants and setting forth a brief statement of the facts requiring such adjustment.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(as defined below)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its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Certain Events</w:t>
      </w:r>
      <w:r>
        <w:rPr>
          <w:rFonts w:ascii="Times New Roman;Times;Serif" w:hAnsi="Times New Roman;Times;Serif"/>
          <w:b w:val="false"/>
          <w:i w:val="false"/>
          <w:caps w:val="false"/>
          <w:smallCaps w:val="false"/>
          <w:sz w:val="20"/>
        </w:rPr>
        <w:t>.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Company’s Board of Directors will, in good faith, make an appropriate adjustment to protect the rights of the Holder, provided that no such adjustment pursuant to this Section 3(d) will increase the Exercise Price or decrease the number of Warrant Shares except as determined pursuant to this Section 3.</w:t>
      </w:r>
    </w:p>
    <w:p>
      <w:pPr>
        <w:pStyle w:val="TextBody"/>
        <w:bidi w:val="0"/>
        <w:spacing w:before="0" w:after="0"/>
        <w:ind w:left="74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 in Section 4(d) hereof, this Warrant and all rights hereunder are transferable, in whole or in part, upon surrender of this Warrant at the principal office of the Company or its designated agent (if issued in physical form),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cause the Warrant Agent to deliver a new Warrant or Warrants in the name of the assignee or assignees, as applicable, and in the denomination or denominations specified in such instrument of assignment, and shall cause the Warrant Agent to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or Pre-Funded Warrants without having a new Warrant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xml:space="preserve"> This Warrant may be divided or combined with other Warrants upon presentation hereof to the Company and the Warrant Agent,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cause the Warrant Agent to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or Pre-Funded Warrants issuable pursuant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Warrant Agent shall register this Warrant, upon records to be maintained by the Warrant Agent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promulgated under the Securities Act, the Company may require, as a condition of allowing such transfer, that the Holder or transferee of this Warrant, as the case may be, to deliver a legal opinion of counsel to the transferor to the effect that the transfer is pursuant to an effective registration statement under the Securities Act or pursuant to an available exemption from, or is a transaction not subject to, the registration requirements of the Securities Act and is in accordance with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or Pre-Funded Warrants issuable upon such exercise, for its own account and not with a view to or for distributing or reselling such Warrant Shares or Pre-Funded Warrants or any part thereof in violation of the Securities Act or any applicable state securities law, except pursuant to sales registered or exempted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or the Warrant Agent of evidence reasonably satisfactory to it of the loss, theft, destruction or mutilation of this Warrant or any stock certificate relating to the Warrant Shares or any Pre-Funded Warrants, and in case of loss, theft or destruction, of indemnity or security reasonably satisfactory to it (which, in the case of the Warrant, shall not include the posting of any bond), and upon surrender and cancellation of such Warrant or stock certificate or Pre-Funded Warrant, if mutilated, the Company will cause the Warrant Agent to deliver a new Warrant or stock certificate or Pre-Funded Warrant of like tenor and dated as of such cancellation, in lieu of such Warrant or stock certificate or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or Trading Day, then, such action may be taken or such right may be exercised on the next succeeding Business Day or Trading Day,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or Pre-Funded Warrants upon the exercise of the purchase rights under this Warrant. The Company will take all such reasonable action as may be necessary to assure that such Warrant Shares or Pre-Funded Warrants may be issued as provided herein without violation of any applicable law or regulation, or of any requirements of the Trading Market upon which the Common Stock may be listed. The Company covenants that all Warrant Shares or Pre-Funded Warrants which may be issued upon the exercise of the purchase rights represented by this Warrant will, upon exercise of the purchase rights represented by this Warrant and payment for such Warrant Shares or Pre-Funded Warrants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or Pre-Funded Warrants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or Pre-Funded Warrants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or Pre-Funded Warrants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5 Park Plaza Suite 1750 Irvine, CA 92614, Attention: [●], e-mail address: [●],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date of transmission, if such notice or communication is delivered via e-mail at the e-mail address set forth in this Section 5(h) prior to 5:30 p.m. (New York City time) on any date, (ii) the next Trading Day after the date of transmission, if such notice or communication is delivered via e-mail at the e-mail address set forth in this Section 5(h)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or Pre-Funded Warrants,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or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Holders (or the beneficial owner of this Warrant) representing 67% of the Warrant Shares and Pre-Funded Warrants issuable under the Warrants then outstanding as of the date such consent is sought, on the other hand. Any proposed amendment or waiver that disproportionately, materially and adversely affects the rights and obligations of any Holder relative to the comparable rights and obligations of the other Holders shall require the prior written consent of such adversely affected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Warrant Agency Agreement</w:t>
      </w:r>
      <w:r>
        <w:rPr>
          <w:rFonts w:ascii="Times New Roman;Times;Serif" w:hAnsi="Times New Roman;Times;Serif"/>
          <w:b w:val="false"/>
          <w:i w:val="false"/>
          <w:caps w:val="false"/>
          <w:smallCaps w:val="false"/>
          <w:sz w:val="20"/>
        </w:rPr>
        <w:t>. This Warrant is issued subject to the Warrant Agency Agreement. To the extent any provision of this Warrant conflicts with the express provisions of the Warrant Agency Agreement, the provisions of this Warrant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2404" w:type="dxa"/>
        <w:jc w:val="left"/>
        <w:tblInd w:w="0" w:type="dxa"/>
        <w:tblLayout w:type="fixed"/>
        <w:tblCellMar>
          <w:top w:w="0" w:type="dxa"/>
          <w:left w:w="0" w:type="dxa"/>
          <w:bottom w:w="0" w:type="dxa"/>
          <w:right w:w="0" w:type="dxa"/>
        </w:tblCellMar>
      </w:tblPr>
      <w:tblGrid>
        <w:gridCol w:w="75"/>
        <w:gridCol w:w="795"/>
        <w:gridCol w:w="1534"/>
      </w:tblGrid>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AEON Biopharma, INC.</w:t>
            </w:r>
          </w:p>
        </w:tc>
      </w:tr>
      <w:tr>
        <w:trPr/>
        <w:tc>
          <w:tcPr>
            <w:tcW w:w="75" w:type="dxa"/>
            <w:tcBorders/>
            <w:vAlign w:val="center"/>
          </w:tcPr>
          <w:p>
            <w:pPr>
              <w:pStyle w:val="TableContents"/>
              <w:bidi w:val="0"/>
              <w:spacing w:before="0" w:after="283"/>
              <w:jc w:val="left"/>
              <w:rPr/>
            </w:pPr>
            <w:r>
              <w:rPr/>
              <w:t> </w:t>
            </w:r>
          </w:p>
        </w:tc>
        <w:tc>
          <w:tcPr>
            <w:tcW w:w="23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3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15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15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350"/>
        <w:gridCol w:w="60"/>
        <w:gridCol w:w="2225"/>
      </w:tblGrid>
      <w:tr>
        <w:trPr/>
        <w:tc>
          <w:tcPr>
            <w:tcW w:w="350"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To:</w:t>
            </w:r>
          </w:p>
        </w:tc>
        <w:tc>
          <w:tcPr>
            <w:tcW w:w="60" w:type="dxa"/>
            <w:tcBorders/>
            <w:vAlign w:val="center"/>
          </w:tcPr>
          <w:p>
            <w:pPr>
              <w:pStyle w:val="TableContents"/>
              <w:bidi w:val="0"/>
              <w:spacing w:before="0" w:after="283"/>
              <w:jc w:val="left"/>
              <w:rPr>
                <w:caps/>
              </w:rPr>
            </w:pPr>
            <w:r>
              <w:rPr>
                <w:caps/>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AEON BioPharma,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Shares][Pre-Funded Warrants]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1800" w:right="0" w:hanging="0"/>
        <w:jc w:val="both"/>
        <w:rPr>
          <w:caps w:val="false"/>
          <w:smallCaps w:val="false"/>
        </w:rPr>
      </w:pPr>
      <w:r>
        <w:rPr>
          <w:caps w:val="false"/>
          <w:smallCaps w:val="false"/>
        </w:rPr>
        <w:t>  ☐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Shares][Pre-Funded Warrants]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by the terms of the Warrant, the Warrant Shares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undersigned is an “accredited investor” as defined in Regulation D promulgated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2623" w:type="dxa"/>
        <w:jc w:val="left"/>
        <w:tblInd w:w="0" w:type="dxa"/>
        <w:tblLayout w:type="fixed"/>
        <w:tblCellMar>
          <w:top w:w="0" w:type="dxa"/>
          <w:left w:w="0" w:type="dxa"/>
          <w:bottom w:w="0" w:type="dxa"/>
          <w:right w:w="0" w:type="dxa"/>
        </w:tblCellMar>
      </w:tblPr>
      <w:tblGrid>
        <w:gridCol w:w="2525"/>
        <w:gridCol w:w="23"/>
        <w:gridCol w:w="75"/>
      </w:tblGrid>
      <w:tr>
        <w:trPr/>
        <w:tc>
          <w:tcPr>
            <w:tcW w:w="2525" w:type="dxa"/>
            <w:tcBorders/>
            <w:vAlign w:val="center"/>
          </w:tcPr>
          <w:p>
            <w:pPr>
              <w:pStyle w:val="TableContents"/>
              <w:bidi w:val="0"/>
              <w:spacing w:before="0" w:after="283"/>
              <w:jc w:val="left"/>
              <w:rPr/>
            </w:pPr>
            <w:r>
              <w:rPr/>
              <w:t>Name of Investing Entity: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18" w:type="dxa"/>
        <w:jc w:val="left"/>
        <w:tblInd w:w="0" w:type="dxa"/>
        <w:tblLayout w:type="fixed"/>
        <w:tblCellMar>
          <w:top w:w="0" w:type="dxa"/>
          <w:left w:w="0" w:type="dxa"/>
          <w:bottom w:w="0" w:type="dxa"/>
          <w:right w:w="0" w:type="dxa"/>
        </w:tblCellMar>
      </w:tblPr>
      <w:tblGrid>
        <w:gridCol w:w="4520"/>
        <w:gridCol w:w="23"/>
        <w:gridCol w:w="75"/>
      </w:tblGrid>
      <w:tr>
        <w:trPr/>
        <w:tc>
          <w:tcPr>
            <w:tcW w:w="4520" w:type="dxa"/>
            <w:tcBorders/>
            <w:vAlign w:val="center"/>
          </w:tcPr>
          <w:p>
            <w:pPr>
              <w:pStyle w:val="TableContents"/>
              <w:bidi w:val="0"/>
              <w:spacing w:before="0" w:after="283"/>
              <w:jc w:val="left"/>
              <w:rPr/>
            </w:pPr>
            <w:r>
              <w:rPr>
                <w:i/>
                <w:sz w:val="20"/>
              </w:rPr>
              <w:t>Signature of Authorized Signatory of Investing Entity</w:t>
            </w:r>
            <w:r>
              <w:rPr/>
              <w:t xml:space="preserve">: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163" w:type="dxa"/>
        <w:jc w:val="left"/>
        <w:tblInd w:w="0" w:type="dxa"/>
        <w:tblLayout w:type="fixed"/>
        <w:tblCellMar>
          <w:top w:w="0" w:type="dxa"/>
          <w:left w:w="0" w:type="dxa"/>
          <w:bottom w:w="0" w:type="dxa"/>
          <w:right w:w="0" w:type="dxa"/>
        </w:tblCellMar>
      </w:tblPr>
      <w:tblGrid>
        <w:gridCol w:w="3065"/>
        <w:gridCol w:w="23"/>
        <w:gridCol w:w="75"/>
      </w:tblGrid>
      <w:tr>
        <w:trPr/>
        <w:tc>
          <w:tcPr>
            <w:tcW w:w="3065" w:type="dxa"/>
            <w:tcBorders/>
            <w:vAlign w:val="center"/>
          </w:tcPr>
          <w:p>
            <w:pPr>
              <w:pStyle w:val="TableContents"/>
              <w:bidi w:val="0"/>
              <w:spacing w:before="0" w:after="283"/>
              <w:jc w:val="left"/>
              <w:rPr/>
            </w:pPr>
            <w:r>
              <w:rPr/>
              <w:t>Name of Authorized Signatory: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028" w:type="dxa"/>
        <w:jc w:val="left"/>
        <w:tblInd w:w="0" w:type="dxa"/>
        <w:tblLayout w:type="fixed"/>
        <w:tblCellMar>
          <w:top w:w="0" w:type="dxa"/>
          <w:left w:w="0" w:type="dxa"/>
          <w:bottom w:w="0" w:type="dxa"/>
          <w:right w:w="0" w:type="dxa"/>
        </w:tblCellMar>
      </w:tblPr>
      <w:tblGrid>
        <w:gridCol w:w="2930"/>
        <w:gridCol w:w="23"/>
        <w:gridCol w:w="75"/>
      </w:tblGrid>
      <w:tr>
        <w:trPr/>
        <w:tc>
          <w:tcPr>
            <w:tcW w:w="2930" w:type="dxa"/>
            <w:tcBorders/>
            <w:vAlign w:val="center"/>
          </w:tcPr>
          <w:p>
            <w:pPr>
              <w:pStyle w:val="TableContents"/>
              <w:bidi w:val="0"/>
              <w:spacing w:before="0" w:after="283"/>
              <w:jc w:val="left"/>
              <w:rPr/>
            </w:pPr>
            <w:r>
              <w:rPr/>
              <w:t>Title of Authorized Signatory: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43" w:type="dxa"/>
        <w:jc w:val="left"/>
        <w:tblInd w:w="0" w:type="dxa"/>
        <w:tblLayout w:type="fixed"/>
        <w:tblCellMar>
          <w:top w:w="0" w:type="dxa"/>
          <w:left w:w="0" w:type="dxa"/>
          <w:bottom w:w="0" w:type="dxa"/>
          <w:right w:w="0" w:type="dxa"/>
        </w:tblCellMar>
      </w:tblPr>
      <w:tblGrid>
        <w:gridCol w:w="545"/>
        <w:gridCol w:w="23"/>
        <w:gridCol w:w="75"/>
      </w:tblGrid>
      <w:tr>
        <w:trPr/>
        <w:tc>
          <w:tcPr>
            <w:tcW w:w="545" w:type="dxa"/>
            <w:tcBorders/>
            <w:vAlign w:val="center"/>
          </w:tcPr>
          <w:p>
            <w:pPr>
              <w:pStyle w:val="TableContents"/>
              <w:bidi w:val="0"/>
              <w:spacing w:before="0" w:after="283"/>
              <w:jc w:val="left"/>
              <w:rPr/>
            </w:pPr>
            <w:r>
              <w:rPr/>
              <w:t>Date:</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4524" w:type="dxa"/>
        <w:jc w:val="left"/>
        <w:tblInd w:w="0" w:type="dxa"/>
        <w:tblLayout w:type="fixed"/>
        <w:tblCellMar>
          <w:top w:w="0" w:type="dxa"/>
          <w:left w:w="0" w:type="dxa"/>
          <w:bottom w:w="0" w:type="dxa"/>
          <w:right w:w="0" w:type="dxa"/>
        </w:tblCellMar>
      </w:tblPr>
      <w:tblGrid>
        <w:gridCol w:w="2951"/>
        <w:gridCol w:w="218"/>
        <w:gridCol w:w="60"/>
        <w:gridCol w:w="1295"/>
      </w:tblGrid>
      <w:tr>
        <w:trPr/>
        <w:tc>
          <w:tcPr>
            <w:tcW w:w="31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(Please Print)</w:t>
            </w:r>
          </w:p>
        </w:tc>
      </w:tr>
      <w:tr>
        <w:trPr/>
        <w:tc>
          <w:tcPr>
            <w:tcW w:w="31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31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169"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(Please Print)</w:t>
            </w:r>
          </w:p>
        </w:tc>
      </w:tr>
      <w:tr>
        <w:trPr/>
        <w:tc>
          <w:tcPr>
            <w:tcW w:w="31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 xml:space="preserve">Phone Number: </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Email Address:</w:t>
            </w:r>
          </w:p>
        </w:tc>
        <w:tc>
          <w:tcPr>
            <w:tcW w:w="60" w:type="dxa"/>
            <w:tcBorders/>
            <w:vAlign w:val="center"/>
          </w:tcPr>
          <w:p>
            <w:pPr>
              <w:pStyle w:val="TableContents"/>
              <w:bidi w:val="0"/>
              <w:spacing w:before="0" w:after="283"/>
              <w:jc w:val="left"/>
              <w:rPr/>
            </w:pPr>
            <w:r>
              <w:rPr/>
              <w:t> </w:t>
            </w:r>
          </w:p>
        </w:tc>
        <w:tc>
          <w:tcPr>
            <w:tcW w:w="12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1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Dated: _______________ __, 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31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2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Signature:</w:t>
            </w:r>
          </w:p>
        </w:tc>
        <w:tc>
          <w:tcPr>
            <w:tcW w:w="218"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2951" w:type="dxa"/>
            <w:tcBorders/>
            <w:vAlign w:val="center"/>
          </w:tcPr>
          <w:p>
            <w:pPr>
              <w:pStyle w:val="TableContents"/>
              <w:bidi w:val="0"/>
              <w:spacing w:before="0" w:after="283"/>
              <w:jc w:val="both"/>
              <w:rPr/>
            </w:pPr>
            <w:r>
              <w:rPr/>
              <w:t> </w:t>
            </w:r>
          </w:p>
        </w:tc>
        <w:tc>
          <w:tcPr>
            <w:tcW w:w="218"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r>
        <w:trPr/>
        <w:tc>
          <w:tcPr>
            <w:tcW w:w="29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Address:</w:t>
            </w:r>
          </w:p>
        </w:tc>
        <w:tc>
          <w:tcPr>
            <w:tcW w:w="218"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bookmarkStart w:id="28" w:name="tm2615250d4_ex4-15.htm"/>
      <w:bookmarkStart w:id="29" w:name="kstm2615250d4_ex415"/>
      <w:bookmarkEnd w:id="28"/>
      <w:bookmarkEnd w:id="29"/>
      <w:r>
        <w:rPr/>
        <w:t> </w:t>
      </w:r>
      <w:r>
        <w:br w:type="page"/>
      </w:r>
    </w:p>
    <w:p>
      <w:pPr>
        <w:pStyle w:val="TextBody"/>
        <w:bidi w:val="0"/>
        <w:spacing w:before="0" w:after="0"/>
        <w:ind w:left="0" w:right="0" w:hanging="0"/>
        <w:jc w:val="right"/>
        <w:rPr>
          <w:b/>
        </w:rPr>
      </w:pPr>
      <w:r>
        <w:rPr>
          <w:b/>
        </w:rPr>
        <w:t>Exhibit 4.15</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AGENCY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AGENCY AGREEMENT (this “Agreement”), dated as of July [__], 2026, is entered into by and between AEON Biopharma, Inc., a Delaware corporation (the “Company”), and Continental Stock Transfer &amp; Trust Company, a New York corporation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filed with the Securities and Exchange Commission a Registration Statement on Form S-1, No: 333-[__] (the "Registration Statement"), for the registration, under the Securities Act of 1933, as amended (the "Act"), of, among other securities, (i) pre-funded warrants to purchase shares of Common Stock (the "Pre-Funded Warrants"), (ii) two-year milestone warrants to purchase shares of Common Stock (the "Two-Year Milestone Warrants"), (iii) five-year milestone warrants to purchase shares of Common Stock (the "Five-Year Milestone Warrants" and, together with the Two-Year Milestone Warrants, the "Milestone Warrants"; the Milestone Warrants, together with the Pre-Funded Warrants, the "Warrants"), and (iv) the shares of Class A common stock, par value $0.0001 per share, of the Company (the "Common Stock") issuable upon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the Warrant Agent to act on behalf of the Company, and the Warrant Agent is willing to so act, in connection with the issuance, registration, transfer, exchange and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Appointment of Warrant Agent</w:t>
      </w:r>
      <w:r>
        <w:rPr>
          <w:rFonts w:ascii="Times New Roman;Times;Serif" w:hAnsi="Times New Roman;Times;Serif"/>
          <w:b w:val="false"/>
          <w:i w:val="false"/>
          <w:caps w:val="false"/>
          <w:smallCaps w:val="false"/>
          <w:sz w:val="20"/>
        </w:rPr>
        <w:t>. The Company hereby appoints the Warrant Agent to act as agent for the Company for the Warrants, and the Warrant Agent hereby accepts such appointment and agrees to perform the same in accordance with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Form of Warrant</w:t>
      </w:r>
      <w:r>
        <w:rPr>
          <w:rFonts w:ascii="Times New Roman;Times;Serif" w:hAnsi="Times New Roman;Times;Serif"/>
          <w:b w:val="false"/>
          <w:i w:val="false"/>
          <w:caps w:val="false"/>
          <w:smallCaps w:val="false"/>
          <w:sz w:val="20"/>
        </w:rPr>
        <w:t>. Each Two-Year Milestone Warrant shall be (a) issued in registered form only, (b) in substantially the form of Exhibit A-1 hereto, the provisions of which are incorporated herein, and (c) signed by, or bear the facsimile signature of, the Chief Executive Officer or Chief Financial Officer of the Company. Each Five-Year Milestone Warrant shall be (a) issued in registered form only, (b) in substantially the form of Exhibit A-2 hereto, the provisions of which are incorporated herein, and (c) signed by, or bear the facsimile signature of, the Chief Executive Officer or Chief Financial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Effect of Countersignature</w:t>
      </w:r>
      <w:r>
        <w:rPr>
          <w:rFonts w:ascii="Times New Roman;Times;Serif" w:hAnsi="Times New Roman;Times;Serif"/>
          <w:b w:val="false"/>
          <w:i w:val="false"/>
          <w:caps w:val="false"/>
          <w:smallCaps w:val="false"/>
          <w:sz w:val="20"/>
        </w:rPr>
        <w:t>. Unless and until countersigned by the Warrant Agent pursuant to this Agreement, a Warrant shall be invalid and of no effect and may not be exercised by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Warrant Agent shall maintain books (the “Warrant Register”)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w:t>
      </w:r>
      <w:r>
        <w:rPr>
          <w:rFonts w:ascii="Times New Roman;Times;Serif" w:hAnsi="Times New Roman;Times;Serif"/>
          <w:b w:val="false"/>
          <w:i w:val="false"/>
          <w:caps w:val="false"/>
          <w:smallCaps w:val="false"/>
          <w:sz w:val="20"/>
          <w:u w:val="single"/>
        </w:rPr>
        <w:t>Registered Holder</w:t>
      </w:r>
      <w:r>
        <w:rPr>
          <w:rFonts w:ascii="Times New Roman;Times;Serif" w:hAnsi="Times New Roman;Times;Serif"/>
          <w:b w:val="false"/>
          <w:i w:val="false"/>
          <w:caps w:val="false"/>
          <w:smallCaps w:val="false"/>
          <w:sz w:val="20"/>
        </w:rPr>
        <w:t>. Prior to due presentment for registration of transfer of any Warrant, the Company and the Warrant Agent may deem and treat the person in whose name such Warrant shall be registered upon the Warrant Register (the “registered holder”),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Terms and 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Warrant Price</w:t>
      </w:r>
      <w:r>
        <w:rPr>
          <w:rFonts w:ascii="Times New Roman;Times;Serif" w:hAnsi="Times New Roman;Times;Serif"/>
          <w:b w:val="false"/>
          <w:i w:val="false"/>
          <w:caps w:val="false"/>
          <w:smallCaps w:val="false"/>
          <w:sz w:val="20"/>
        </w:rPr>
        <w:t>. Each Warrant shall entitle the registered holder thereof, subject to the provisions of such Warrant, as the case may be, and of this Agreement, to purchase from the Company the number of shares of Common Stock (or Pre-Funded Warrants (as defined in the Warrants) in lieu thereof, at the option of the holder) stated therein, at the applicable Exercise Price (as defined in the Warrants), subject to the adjustments provided in Section 4 hereof and in the applicable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Duration of Warrants</w:t>
      </w:r>
      <w:r>
        <w:rPr>
          <w:rFonts w:ascii="Times New Roman;Times;Serif" w:hAnsi="Times New Roman;Times;Serif"/>
          <w:b w:val="false"/>
          <w:i w:val="false"/>
          <w:caps w:val="false"/>
          <w:smallCaps w:val="false"/>
          <w:sz w:val="20"/>
        </w:rPr>
        <w:t>. Each Warrant shall be exercisable at any time on or after the Initial Exercise Date (as defined in the applicable Warrant) and on or before the Termination Date (as defined in the applicable Warrant). Each Warrant not exercised on or before the applicable Termination Date shall become void, and all rights thereunder and all rights in respect thereof under this Agreement shall cease at the close of business on such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Subject to the provisions of the Warrant and this Agreement, a Warrant,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the Warrant Price for each full share of Common Stock as to which the Warrant is exercised and any and all applicable taxes due in connection with the exercise of the Warrant, as follows: (a) by wire transfer of immediately available funds or certified check payable to the order of the Company; or (b) by "cashless exercise" in accordance with, and subject to the conditions set forth in, Section 2(c) of the applicable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            </w:t>
      </w:r>
      <w:r>
        <w:rPr>
          <w:rFonts w:ascii="Times New Roman;Times;Serif" w:hAnsi="Times New Roman;Times;Serif"/>
          <w:b w:val="false"/>
          <w:i w:val="false"/>
          <w:caps w:val="false"/>
          <w:smallCaps w:val="false"/>
          <w:sz w:val="20"/>
          <w:u w:val="single"/>
        </w:rPr>
        <w:t>Issuance of Certificates</w:t>
      </w:r>
      <w:r>
        <w:rPr>
          <w:rFonts w:ascii="Times New Roman;Times;Serif" w:hAnsi="Times New Roman;Times;Serif"/>
          <w:b w:val="false"/>
          <w:i w:val="false"/>
          <w:caps w:val="false"/>
          <w:smallCaps w:val="false"/>
          <w:sz w:val="20"/>
        </w:rPr>
        <w:t>. If a registration statement under the Act with respect to the Common Stock issuable upon exercise of such Warrant is not then effective or a current prospectus is not then available for delivery to the Warrant holders, the registered holder may, in lieu of exercising such Warrant for Common Stock, elect to exercise the Warrant on a cashless basis in accordance with Section 2(c) of the applicable Warrant. In no event will the Company be required to "net cash settle" any Warrant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All shares of Common Stock issued upon the proper exercise of a Warrant in conformity with this Agreement shall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            </w:t>
      </w:r>
      <w:r>
        <w:rPr>
          <w:rFonts w:ascii="Times New Roman;Times;Serif" w:hAnsi="Times New Roman;Times;Serif"/>
          <w:b w:val="false"/>
          <w:i w:val="false"/>
          <w:caps w:val="false"/>
          <w:smallCaps w:val="false"/>
          <w:sz w:val="20"/>
          <w:u w:val="single"/>
        </w:rPr>
        <w:t>Date of Issuance</w:t>
      </w:r>
      <w:r>
        <w:rPr>
          <w:rFonts w:ascii="Times New Roman;Times;Serif" w:hAnsi="Times New Roman;Times;Serif"/>
          <w:b w:val="false"/>
          <w:i w:val="false"/>
          <w:caps w:val="false"/>
          <w:smallCaps w:val="false"/>
          <w:sz w:val="20"/>
        </w:rPr>
        <w:t>. Each person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Stock Dividends - Split-Ups</w:t>
      </w:r>
      <w:r>
        <w:rPr>
          <w:rFonts w:ascii="Times New Roman;Times;Serif" w:hAnsi="Times New Roman;Times;Serif"/>
          <w:b w:val="false"/>
          <w:i w:val="false"/>
          <w:caps w:val="false"/>
          <w:smallCaps w:val="false"/>
          <w:sz w:val="20"/>
        </w:rPr>
        <w:t>. If, after the date hereof, and subject to the provisions of Section 4.6 below,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shall be increased in proportion to such increase in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Aggregation of Shares</w:t>
      </w:r>
      <w:r>
        <w:rPr>
          <w:rFonts w:ascii="Times New Roman;Times;Serif" w:hAnsi="Times New Roman;Times;Serif"/>
          <w:b w:val="false"/>
          <w:i w:val="false"/>
          <w:caps w:val="false"/>
          <w:smallCaps w:val="false"/>
          <w:sz w:val="20"/>
        </w:rPr>
        <w:t>. If, after the date hereof, and subject to the provisions of Section 4.6,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Adjustments in Exercise Price</w:t>
      </w:r>
      <w:r>
        <w:rPr>
          <w:rFonts w:ascii="Times New Roman;Times;Serif" w:hAnsi="Times New Roman;Times;Serif"/>
          <w:b w:val="false"/>
          <w:i w:val="false"/>
          <w:caps w:val="false"/>
          <w:smallCaps w:val="false"/>
          <w:sz w:val="20"/>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Replacement of Securities upon Reorganization, etc</w:t>
      </w:r>
      <w:r>
        <w:rPr>
          <w:rFonts w:ascii="Times New Roman;Times;Serif" w:hAnsi="Times New Roman;Times;Serif"/>
          <w:b w:val="false"/>
          <w:i w:val="false"/>
          <w:caps w:val="false"/>
          <w:smallCaps w:val="false"/>
          <w:sz w:val="20"/>
        </w:rPr>
        <w:t>. In case of any reclassification or reorganization of the outstanding shares of Common Stock (other than a change covered by Section 4.1 or 4.2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and if any reclassification also results in a change in shares of Common Stock covered by Section 4.1 or 4.2, then such adjustment shall be made pursuant to Sections 4.1, 4.2, 4.3 and this Section 4.4. The provisions of this Section 4.4 shall similarly apply to successive reclassifications, reorganizations, mergers or consolidations, sales or other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or 4.4,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Notwithstanding any provision contained in this Agreement to the contrary, the Company shall not issue fractional shares upon exercise of Warrants. If, by reason of any adjustment made pursuant to this Section 4, the holder of any Warrant would be entitled, upon the exercise of such Warrant, to receive a fractional interest in a share, the Company shall, upon such exercise, round up or down to the nearest whole number the number of shares of Common Stock to be issued to the Warrant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Form of Warrant</w:t>
      </w:r>
      <w:r>
        <w:rPr>
          <w:rFonts w:ascii="Times New Roman;Times;Serif" w:hAnsi="Times New Roman;Times;Serif"/>
          <w:b w:val="false"/>
          <w:i w:val="false"/>
          <w:caps w:val="false"/>
          <w:smallCaps w:val="false"/>
          <w:sz w:val="20"/>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and Exchange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Registration of Transfer</w:t>
      </w:r>
      <w:r>
        <w:rPr>
          <w:rFonts w:ascii="Times New Roman;Times;Serif" w:hAnsi="Times New Roman;Times;Serif"/>
          <w:b w:val="false"/>
          <w:i w:val="false"/>
          <w:caps w:val="false"/>
          <w:smallCaps w:val="false"/>
          <w:sz w:val="20"/>
        </w:rPr>
        <w:t>. The Warrant Agent shall register the transfer, from time to time, of any outstanding Warrant in the Warrant Register, upon surrender of such Warrant for transfer, properly endorsed with signatures properly medallion guaranteed and accompanied by appropriate instructions for transfer. Upon any such transfer, a new Warrant representing an equal aggregate number of Warrants shall be issued and the old Warrant shall be cancelled by the Warrant Agent. The Warrants so cancelled may be delivered by the Warrant Agent to the Company from time to time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Procedure for Surrender of Warrants</w:t>
      </w:r>
      <w:r>
        <w:rPr>
          <w:rFonts w:ascii="Times New Roman;Times;Serif" w:hAnsi="Times New Roman;Times;Serif"/>
          <w:b w:val="false"/>
          <w:i w:val="false"/>
          <w:caps w:val="false"/>
          <w:smallCaps w:val="false"/>
          <w:sz w:val="20"/>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is exempt from registration under the Act and indicating whether the new Warrants must also bear a restrictive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Fractional Warrants</w:t>
      </w:r>
      <w:r>
        <w:rPr>
          <w:rFonts w:ascii="Times New Roman;Times;Serif" w:hAnsi="Times New Roman;Times;Serif"/>
          <w:b w:val="false"/>
          <w:i w:val="false"/>
          <w:caps w:val="false"/>
          <w:smallCaps w:val="false"/>
          <w:sz w:val="20"/>
        </w:rPr>
        <w:t>. The Warrant Agent shall not be required to effect any registration of transfer or exchange which will result in the issuance of a warrant certificate for a fraction of a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Service Charges</w:t>
      </w:r>
      <w:r>
        <w:rPr>
          <w:rFonts w:ascii="Times New Roman;Times;Serif" w:hAnsi="Times New Roman;Times;Serif"/>
          <w:b w:val="false"/>
          <w:i w:val="false"/>
          <w:caps w:val="false"/>
          <w:smallCaps w:val="false"/>
          <w:sz w:val="20"/>
        </w:rPr>
        <w:t>. No service charge shall be made for any exchange or registration of transfer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Warrant Execution and Countersignature</w:t>
      </w:r>
      <w:r>
        <w:rPr>
          <w:rFonts w:ascii="Times New Roman;Times;Serif" w:hAnsi="Times New Roman;Times;Serif"/>
          <w:b w:val="false"/>
          <w:i w:val="false"/>
          <w:caps w:val="false"/>
          <w:smallCaps w:val="false"/>
          <w:sz w:val="20"/>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Other Provisions Relating to Rights of Holders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No Rights as Stockholder</w:t>
      </w:r>
      <w:r>
        <w:rPr>
          <w:rFonts w:ascii="Times New Roman;Times;Serif" w:hAnsi="Times New Roman;Times;Serif"/>
          <w:b w:val="false"/>
          <w:i w:val="false"/>
          <w:caps w:val="false"/>
          <w:smallCaps w:val="false"/>
          <w:sz w:val="20"/>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Lost, Stolen, Mutilated, or Destroyed Warrants</w:t>
      </w:r>
      <w:r>
        <w:rPr>
          <w:rFonts w:ascii="Times New Roman;Times;Serif" w:hAnsi="Times New Roman;Times;Serif"/>
          <w:b w:val="false"/>
          <w:i w:val="false"/>
          <w:caps w:val="false"/>
          <w:smallCaps w:val="false"/>
          <w:sz w:val="20"/>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The Company shall at all times reserve and keep available a number of its authorized but unissued shares of Common Stock that will be sufficient to permit the exercise in full of all outstanding Warrants issued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Registration of Common Stock</w:t>
      </w:r>
      <w:r>
        <w:rPr>
          <w:rFonts w:ascii="Times New Roman;Times;Serif" w:hAnsi="Times New Roman;Times;Serif"/>
          <w:b w:val="false"/>
          <w:i w:val="false"/>
          <w:caps w:val="false"/>
          <w:smallCaps w:val="false"/>
          <w:sz w:val="20"/>
        </w:rPr>
        <w:t>. The Company shall use its commercially reasonable efforts to maintain the effectiveness of the Registration Statement, and the availability of a current prospectus thereunder, at all times until the expiration of the Warrants in accordance with the provisions of this Agreement. In the event that the Registration Statement ceases to be effective, or a current prospectus ceases to be available, at any time following the Initial Exercise Date of a Warrant, the registered holder of such Warrant may exercise such Warrant on a cashless basis in accordance with Section 2(c) of the Warrant. In no event will the registered holder of a Warrant be entitled to receive a "net cash settlement" in lieu of physical settlement in shares of Common Stock (or Pre-Funded Warrants, as applicable), regardless of whether the Company complies with this Section 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t>
      </w:r>
      <w:r>
        <w:rPr>
          <w:rFonts w:ascii="Times New Roman;Times;Serif" w:hAnsi="Times New Roman;Times;Serif"/>
          <w:b w:val="false"/>
          <w:i w:val="false"/>
          <w:caps w:val="false"/>
          <w:smallCaps w:val="false"/>
          <w:sz w:val="20"/>
          <w:u w:val="single"/>
        </w:rPr>
        <w:t>Limitation on Monetary Damages</w:t>
      </w:r>
      <w:r>
        <w:rPr>
          <w:rFonts w:ascii="Times New Roman;Times;Serif" w:hAnsi="Times New Roman;Times;Serif"/>
          <w:b w:val="false"/>
          <w:i w:val="false"/>
          <w:caps w:val="false"/>
          <w:smallCaps w:val="false"/>
          <w:sz w:val="20"/>
        </w:rPr>
        <w:t>. In no event shall the registered holder of a Warrant be entitled to receive monetary damages for failure to settle any Warrant exercise if the Common Stock issuable upon exercise of the Warrants has not been registered with the Securities and Exchange Commission pursuant to an effective registration statement or if a current prospectus is not available for delivery by the Warrant Agent, provided the Company has fulfilled its obligations under Section 7.4 to use its commercially reasonable best efforts to effect the registration under the Act of the Common Stock issuable upon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Concerning the Warrant Agent and Other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Resignation, Consolidation, or Merger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            </w:t>
      </w:r>
      <w:r>
        <w:rPr>
          <w:rFonts w:ascii="Times New Roman;Times;Serif" w:hAnsi="Times New Roman;Times;Serif"/>
          <w:b w:val="false"/>
          <w:i w:val="false"/>
          <w:caps w:val="false"/>
          <w:smallCaps w:val="false"/>
          <w:sz w:val="20"/>
          <w:u w:val="single"/>
        </w:rPr>
        <w:t>Appointment of Successor Warrant Agent</w:t>
      </w:r>
      <w:r>
        <w:rPr>
          <w:rFonts w:ascii="Times New Roman;Times;Serif" w:hAnsi="Times New Roman;Times;Serif"/>
          <w:b w:val="false"/>
          <w:i w:val="false"/>
          <w:caps w:val="false"/>
          <w:smallCaps w:val="false"/>
          <w:sz w:val="20"/>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holder of the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            </w:t>
      </w:r>
      <w:r>
        <w:rPr>
          <w:rFonts w:ascii="Times New Roman;Times;Serif" w:hAnsi="Times New Roman;Times;Serif"/>
          <w:b w:val="false"/>
          <w:i w:val="false"/>
          <w:caps w:val="false"/>
          <w:smallCaps w:val="false"/>
          <w:sz w:val="20"/>
          <w:u w:val="single"/>
        </w:rPr>
        <w:t>Notice of Successor Warrant Agent</w:t>
      </w:r>
      <w:r>
        <w:rPr>
          <w:rFonts w:ascii="Times New Roman;Times;Serif" w:hAnsi="Times New Roman;Times;Serif"/>
          <w:b w:val="false"/>
          <w:i w:val="false"/>
          <w:caps w:val="false"/>
          <w:smallCaps w:val="false"/>
          <w:sz w:val="20"/>
        </w:rPr>
        <w:t>. In the event a successor Warrant Agent shall be appointed, the Company shall give notice thereof to the predecessor Warrant Agent and the transfer agent for the Common Stock not later than the effective date of any such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            </w:t>
      </w:r>
      <w:r>
        <w:rPr>
          <w:rFonts w:ascii="Times New Roman;Times;Serif" w:hAnsi="Times New Roman;Times;Serif"/>
          <w:b w:val="false"/>
          <w:i w:val="false"/>
          <w:caps w:val="false"/>
          <w:smallCaps w:val="false"/>
          <w:sz w:val="20"/>
          <w:u w:val="single"/>
        </w:rPr>
        <w:t>Merger or Consolidation of Warrant Agent</w:t>
      </w:r>
      <w:r>
        <w:rPr>
          <w:rFonts w:ascii="Times New Roman;Times;Serif" w:hAnsi="Times New Roman;Times;Serif"/>
          <w:b w:val="false"/>
          <w:i w:val="false"/>
          <w:caps w:val="false"/>
          <w:smallCaps w:val="false"/>
          <w:sz w:val="20"/>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Fees and Expenses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            </w:t>
      </w:r>
      <w:r>
        <w:rPr>
          <w:rFonts w:ascii="Times New Roman;Times;Serif" w:hAnsi="Times New Roman;Times;Serif"/>
          <w:b w:val="false"/>
          <w:i w:val="false"/>
          <w:caps w:val="false"/>
          <w:smallCaps w:val="false"/>
          <w:sz w:val="20"/>
          <w:u w:val="single"/>
        </w:rPr>
        <w:t>Remuneration</w:t>
      </w:r>
      <w:r>
        <w:rPr>
          <w:rFonts w:ascii="Times New Roman;Times;Serif" w:hAnsi="Times New Roman;Times;Serif"/>
          <w:b w:val="false"/>
          <w:i w:val="false"/>
          <w:caps w:val="false"/>
          <w:smallCaps w:val="false"/>
          <w:sz w:val="20"/>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Liability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            </w:t>
      </w:r>
      <w:r>
        <w:rPr>
          <w:rFonts w:ascii="Times New Roman;Times;Serif" w:hAnsi="Times New Roman;Times;Serif"/>
          <w:b w:val="false"/>
          <w:i w:val="false"/>
          <w:caps w:val="false"/>
          <w:smallCaps w:val="false"/>
          <w:sz w:val="20"/>
          <w:u w:val="single"/>
        </w:rPr>
        <w:t>Reliance on Company Statement</w:t>
      </w:r>
      <w:r>
        <w:rPr>
          <w:rFonts w:ascii="Times New Roman;Times;Serif" w:hAnsi="Times New Roman;Times;Serif"/>
          <w:b w:val="false"/>
          <w:i w:val="false"/>
          <w:caps w:val="false"/>
          <w:smallCaps w:val="false"/>
          <w:sz w:val="20"/>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President or Chairman of the Board of the Company and delivered to the Warrant Agent. The Warrant Agent may rely upon such statement for any action taken or suffered in good faith by it pursuant to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The Warrant Agent shall be liable hereunder only for its own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gross negligence, willful misconduct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            </w:t>
      </w:r>
      <w:r>
        <w:rPr>
          <w:rFonts w:ascii="Times New Roman;Times;Serif" w:hAnsi="Times New Roman;Times;Serif"/>
          <w:b w:val="false"/>
          <w:i w:val="false"/>
          <w:caps w:val="false"/>
          <w:smallCaps w:val="false"/>
          <w:sz w:val="20"/>
          <w:u w:val="single"/>
        </w:rPr>
        <w:t>Exclusions</w:t>
      </w:r>
      <w:r>
        <w:rPr>
          <w:rFonts w:ascii="Times New Roman;Times;Serif" w:hAnsi="Times New Roman;Times;Serif"/>
          <w:b w:val="false"/>
          <w:i w:val="false"/>
          <w:caps w:val="false"/>
          <w:smallCaps w:val="false"/>
          <w:sz w:val="20"/>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Acceptance of Agency</w:t>
      </w:r>
      <w:r>
        <w:rPr>
          <w:rFonts w:ascii="Times New Roman;Times;Serif" w:hAnsi="Times New Roman;Times;Serif"/>
          <w:b w:val="false"/>
          <w:i w:val="false"/>
          <w:caps w:val="false"/>
          <w:smallCaps w:val="false"/>
          <w:sz w:val="20"/>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Common Stock through the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the covenants and provisions of this Agreement by or for the benefit of the Company or the Warrant Agent shall bind and inure to the benefit of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statement or demand authorized by this Agreement to be given or made by the Warrant Agent or by the holder of any Warrant to or on the Company shall be delivered by hand or sent by registered or certified mail or overnight courier service, addressed (until another address is filed in writing by the Company with the Warrant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 Biopharma,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Park Plaza, Suite 1750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 92614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statement or demand authorized by this Agreement to be given or made by the holder of any Warrant or by the Company to or on the Warrant Agent shall be delivered by hand or sent by registered or certified mail or overnight courier service, addressed (until another address is filed in writing by the Company with the Warrant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w:t>
        <w:br/>
        <w:t>1 State Street, 30 FL</w:t>
        <w:br/>
        <w:t>New York, New York 10004</w:t>
        <w:br/>
        <w:t>Attn:     Compliance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in each case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Sullivan &amp; Worcester LLP</w:t>
        <w:br/>
        <w:t>1251 Avenue of the Americas, 19th Floor</w:t>
        <w:br/>
        <w:t>New York, New York 10020</w:t>
        <w:br/>
        <w:t>Attention: David E. Danovitch</w:t>
        <w:br/>
        <w:t>Email: ddanovitch@sullivanlaw.com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sent pursuant to this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9.2 hereof. Such mailing shall be deemed personal service and shall be legal and binding upon the Company in any action, proceeding or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Persons Having Rights under this Agreement</w:t>
      </w:r>
      <w:r>
        <w:rPr>
          <w:rFonts w:ascii="Times New Roman;Times;Serif" w:hAnsi="Times New Roman;Times;Serif"/>
          <w:b w:val="false"/>
          <w:i w:val="false"/>
          <w:caps w:val="false"/>
          <w:smallCaps w:val="false"/>
          <w:sz w:val="20"/>
        </w:rPr>
        <w:t>. Nothing in this Agreement expressed and nothing that may be implied from any of the provisions hereof is intended, or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Examination of the Agreement</w:t>
      </w:r>
      <w:r>
        <w:rPr>
          <w:rFonts w:ascii="Times New Roman;Times;Serif" w:hAnsi="Times New Roman;Times;Serif"/>
          <w:b w:val="false"/>
          <w:i w:val="false"/>
          <w:caps w:val="false"/>
          <w:smallCaps w:val="false"/>
          <w:sz w:val="20"/>
        </w:rPr>
        <w:t>. A copy of this Agreement shall be available at all reasonable times at the office of the Warrant Agent in the Borough of Manhattan, City and State of New York, for inspection by the registered holder of any Warrant. The Warrant Agent may require any such holder to submit his, her or its Warrant for inspection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original or facsimile counterparts and each of such counterparts shall for all purposes be deemed to be an original, and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are not part of this Agreement and shall not affect the interpretation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Agreement may be amended by the parties hereto without the consent of any registered holder for the purpose of curing any ambiguity, or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Exercise Price or accelerate the Termination Date, shall require the written consent of the registered holders of a majority of the then 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duly executed by the parties hereto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75"/>
        <w:gridCol w:w="2960"/>
      </w:tblGrid>
      <w:tr>
        <w:trPr/>
        <w:tc>
          <w:tcPr>
            <w:tcW w:w="75"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both"/>
              <w:rPr>
                <w:b/>
              </w:rPr>
            </w:pPr>
            <w:r>
              <w:rPr>
                <w:b/>
              </w:rPr>
              <w:t>AEON BIOPHARMA, INC.</w:t>
            </w:r>
          </w:p>
        </w:tc>
      </w:tr>
    </w:tbl>
    <w:p>
      <w:pPr>
        <w:pStyle w:val="TextBody"/>
        <w:bidi w:val="0"/>
        <w:spacing w:before="0" w:after="0"/>
        <w:ind w:left="0" w:right="0" w:hanging="0"/>
        <w:jc w:val="left"/>
        <w:rPr>
          <w:caps w:val="false"/>
          <w:smallCaps w:val="false"/>
        </w:rPr>
      </w:pPr>
      <w:r>
        <w:rPr>
          <w:caps w:val="false"/>
          <w:smallCaps w:val="false"/>
        </w:rPr>
        <w:t> </w:t>
      </w:r>
    </w:p>
    <w:tbl>
      <w:tblPr>
        <w:tblW w:w="478" w:type="dxa"/>
        <w:jc w:val="left"/>
        <w:tblInd w:w="0" w:type="dxa"/>
        <w:tblLayout w:type="fixed"/>
        <w:tblCellMar>
          <w:top w:w="0" w:type="dxa"/>
          <w:left w:w="0" w:type="dxa"/>
          <w:bottom w:w="0" w:type="dxa"/>
          <w:right w:w="0" w:type="dxa"/>
        </w:tblCellMar>
      </w:tblPr>
      <w:tblGrid>
        <w:gridCol w:w="38"/>
        <w:gridCol w:w="3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tbl>
      <w:tblPr>
        <w:tblW w:w="2253" w:type="dxa"/>
        <w:jc w:val="left"/>
        <w:tblInd w:w="0" w:type="dxa"/>
        <w:tblLayout w:type="fixed"/>
        <w:tblCellMar>
          <w:top w:w="0" w:type="dxa"/>
          <w:left w:w="0" w:type="dxa"/>
          <w:bottom w:w="0" w:type="dxa"/>
          <w:right w:w="0" w:type="dxa"/>
        </w:tblCellMar>
      </w:tblPr>
      <w:tblGrid>
        <w:gridCol w:w="38"/>
        <w:gridCol w:w="65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1565" w:type="dxa"/>
            <w:tcBorders/>
            <w:vAlign w:val="center"/>
          </w:tcPr>
          <w:p>
            <w:pPr>
              <w:pStyle w:val="TableContents"/>
              <w:bidi w:val="0"/>
              <w:spacing w:before="0" w:after="283"/>
              <w:jc w:val="both"/>
              <w:rPr>
                <w:u w:val="single"/>
              </w:rPr>
            </w:pPr>
            <w:r>
              <w:rPr>
                <w:u w:val="single"/>
              </w:rPr>
              <w:t>Robert Bancroft</w:t>
            </w:r>
          </w:p>
        </w:tc>
      </w:tr>
    </w:tbl>
    <w:tbl>
      <w:tblPr>
        <w:tblW w:w="2853" w:type="dxa"/>
        <w:jc w:val="left"/>
        <w:tblInd w:w="0" w:type="dxa"/>
        <w:tblLayout w:type="fixed"/>
        <w:tblCellMar>
          <w:top w:w="0" w:type="dxa"/>
          <w:left w:w="0" w:type="dxa"/>
          <w:bottom w:w="0" w:type="dxa"/>
          <w:right w:w="0" w:type="dxa"/>
        </w:tblCellMar>
      </w:tblPr>
      <w:tblGrid>
        <w:gridCol w:w="38"/>
        <w:gridCol w:w="515"/>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both"/>
              <w:rPr>
                <w:u w:val="single"/>
              </w:rPr>
            </w:pPr>
            <w:r>
              <w:rPr>
                <w:u w:val="single"/>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10" w:type="dxa"/>
        <w:jc w:val="left"/>
        <w:tblInd w:w="0" w:type="dxa"/>
        <w:tblLayout w:type="fixed"/>
        <w:tblCellMar>
          <w:top w:w="0" w:type="dxa"/>
          <w:left w:w="0" w:type="dxa"/>
          <w:bottom w:w="0" w:type="dxa"/>
          <w:right w:w="0" w:type="dxa"/>
        </w:tblCellMar>
      </w:tblPr>
      <w:tblGrid>
        <w:gridCol w:w="75"/>
        <w:gridCol w:w="6635"/>
      </w:tblGrid>
      <w:tr>
        <w:trPr/>
        <w:tc>
          <w:tcPr>
            <w:tcW w:w="7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both"/>
              <w:rPr>
                <w:b/>
              </w:rPr>
            </w:pPr>
            <w:r>
              <w:rPr>
                <w:b/>
              </w:rPr>
              <w:t>CONTINENTAL STOCK TRANSFER &amp; TRUST COMPANY</w:t>
            </w:r>
          </w:p>
        </w:tc>
      </w:tr>
    </w:tbl>
    <w:p>
      <w:pPr>
        <w:pStyle w:val="TextBody"/>
        <w:bidi w:val="0"/>
        <w:spacing w:before="0" w:after="0"/>
        <w:ind w:left="0" w:right="0" w:hanging="0"/>
        <w:jc w:val="left"/>
        <w:rPr>
          <w:caps w:val="false"/>
          <w:smallCaps w:val="false"/>
        </w:rPr>
      </w:pPr>
      <w:r>
        <w:rPr>
          <w:caps w:val="false"/>
          <w:smallCaps w:val="false"/>
        </w:rPr>
        <w:t> </w:t>
      </w:r>
    </w:p>
    <w:tbl>
      <w:tblPr>
        <w:tblW w:w="478" w:type="dxa"/>
        <w:jc w:val="left"/>
        <w:tblInd w:w="0" w:type="dxa"/>
        <w:tblLayout w:type="fixed"/>
        <w:tblCellMar>
          <w:top w:w="0" w:type="dxa"/>
          <w:left w:w="0" w:type="dxa"/>
          <w:bottom w:w="0" w:type="dxa"/>
          <w:right w:w="0" w:type="dxa"/>
        </w:tblCellMar>
      </w:tblPr>
      <w:tblGrid>
        <w:gridCol w:w="38"/>
        <w:gridCol w:w="36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By:</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tbl>
      <w:tblPr>
        <w:tblW w:w="763" w:type="dxa"/>
        <w:jc w:val="left"/>
        <w:tblInd w:w="0" w:type="dxa"/>
        <w:tblLayout w:type="fixed"/>
        <w:tblCellMar>
          <w:top w:w="0" w:type="dxa"/>
          <w:left w:w="0" w:type="dxa"/>
          <w:bottom w:w="0" w:type="dxa"/>
          <w:right w:w="0" w:type="dxa"/>
        </w:tblCellMar>
      </w:tblPr>
      <w:tblGrid>
        <w:gridCol w:w="38"/>
        <w:gridCol w:w="65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tbl>
      <w:tblPr>
        <w:tblW w:w="628" w:type="dxa"/>
        <w:jc w:val="left"/>
        <w:tblInd w:w="0" w:type="dxa"/>
        <w:tblLayout w:type="fixed"/>
        <w:tblCellMar>
          <w:top w:w="0" w:type="dxa"/>
          <w:left w:w="0" w:type="dxa"/>
          <w:bottom w:w="0" w:type="dxa"/>
          <w:right w:w="0" w:type="dxa"/>
        </w:tblCellMar>
      </w:tblPr>
      <w:tblGrid>
        <w:gridCol w:w="38"/>
        <w:gridCol w:w="515"/>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Title: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Two-Year Milestone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Five-Year Milestone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30" w:name="tm2615250d4_ex5-1.htm"/>
      <w:bookmarkStart w:id="31" w:name="kstm2615250d4_ex51"/>
      <w:bookmarkEnd w:id="30"/>
      <w:bookmarkEnd w:id="3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474720" cy="471170"/>
            <wp:effectExtent l="0" t="0" r="0" b="0"/>
            <wp:docPr id="9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 descr=""/>
                    <pic:cNvPicPr>
                      <a:picLocks noChangeAspect="1" noChangeArrowheads="1"/>
                    </pic:cNvPicPr>
                  </pic:nvPicPr>
                  <pic:blipFill>
                    <a:blip r:embed="rId76"/>
                    <a:stretch>
                      <a:fillRect/>
                    </a:stretch>
                  </pic:blipFill>
                  <pic:spPr bwMode="auto">
                    <a:xfrm>
                      <a:off x="0" y="0"/>
                      <a:ext cx="3474720" cy="47117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 Biopharma,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Park Plaza, Suite 1750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 92614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AEON Biopharma,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its Registration Statement on Form S-1, as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initially filed with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on July 8, 2026, related to the proposed public offering of $14,375,000 in securities (inclusive of $1,875,000 in respect of the over-allotment securities), consisting of up to (i)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par value $0.0001 per share (the “Common Stock”) or pre-funded warrants to purchase shares of Common Stock in lieu thereof (the “</w:t>
      </w:r>
      <w:r>
        <w:rPr>
          <w:rFonts w:ascii="Times New Roman;Times;Serif" w:hAnsi="Times New Roman;Times;Serif"/>
          <w:b/>
          <w:i/>
          <w:caps w:val="false"/>
          <w:smallCaps w:val="false"/>
          <w:sz w:val="20"/>
        </w:rPr>
        <w:t>Pre-Funded Warrants</w:t>
      </w:r>
      <w:r>
        <w:rPr>
          <w:rFonts w:ascii="Times New Roman;Times;Serif" w:hAnsi="Times New Roman;Times;Serif"/>
          <w:b w:val="false"/>
          <w:i w:val="false"/>
          <w:caps w:val="false"/>
          <w:smallCaps w:val="false"/>
          <w:sz w:val="20"/>
        </w:rPr>
        <w:t>”), along with (ii) two-year milestone warrants to purchase shares of Common Stock (the “</w:t>
      </w:r>
      <w:r>
        <w:rPr>
          <w:rFonts w:ascii="Times New Roman;Times;Serif" w:hAnsi="Times New Roman;Times;Serif"/>
          <w:b/>
          <w:i/>
          <w:caps w:val="false"/>
          <w:smallCaps w:val="false"/>
          <w:sz w:val="20"/>
        </w:rPr>
        <w:t>Two-Year Milestone Warrants</w:t>
      </w:r>
      <w:r>
        <w:rPr>
          <w:rFonts w:ascii="Times New Roman;Times;Serif" w:hAnsi="Times New Roman;Times;Serif"/>
          <w:b w:val="false"/>
          <w:i w:val="false"/>
          <w:caps w:val="false"/>
          <w:smallCaps w:val="false"/>
          <w:sz w:val="20"/>
        </w:rPr>
        <w:t>”) and (iii) five-year milestone warrants to purchase shares of Common Stock (the “</w:t>
      </w:r>
      <w:r>
        <w:rPr>
          <w:rFonts w:ascii="Times New Roman;Times;Serif" w:hAnsi="Times New Roman;Times;Serif"/>
          <w:b/>
          <w:i/>
          <w:caps w:val="false"/>
          <w:smallCaps w:val="false"/>
          <w:sz w:val="20"/>
        </w:rPr>
        <w:t>Five-Year Milestone Warrants</w:t>
      </w:r>
      <w:r>
        <w:rPr>
          <w:rFonts w:ascii="Times New Roman;Times;Serif" w:hAnsi="Times New Roman;Times;Serif"/>
          <w:b w:val="false"/>
          <w:i w:val="false"/>
          <w:caps w:val="false"/>
          <w:smallCaps w:val="false"/>
          <w:sz w:val="20"/>
        </w:rPr>
        <w:t>”, together with the Two-Year Milestone Warrants, the “</w:t>
      </w:r>
      <w:r>
        <w:rPr>
          <w:rFonts w:ascii="Times New Roman;Times;Serif" w:hAnsi="Times New Roman;Times;Serif"/>
          <w:b/>
          <w:i/>
          <w:caps w:val="false"/>
          <w:smallCaps w:val="false"/>
          <w:sz w:val="20"/>
        </w:rPr>
        <w:t>Milestone Warrants</w:t>
      </w:r>
      <w:r>
        <w:rPr>
          <w:rFonts w:ascii="Times New Roman;Times;Serif" w:hAnsi="Times New Roman;Times;Serif"/>
          <w:b w:val="false"/>
          <w:i w:val="false"/>
          <w:caps w:val="false"/>
          <w:smallCaps w:val="false"/>
          <w:sz w:val="20"/>
        </w:rPr>
        <w:t>”). The Registration Statement also covers the shares of Common Stock underlying the Pre-Funded Warrants, the Two-Year Milestone Warrants and the Five-Year Milestone Warrants (collectively,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The Shares, the Pre-Funded Warrants, the Milestone Warrants and the Warrant Shares are collectively referred to herein as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will be offered and sold pursuant to the Registration Statement and an underwriting agreement (the “</w:t>
      </w:r>
      <w:r>
        <w:rPr>
          <w:rFonts w:ascii="Times New Roman;Times;Serif" w:hAnsi="Times New Roman;Times;Serif"/>
          <w:b/>
          <w:i/>
          <w:caps w:val="false"/>
          <w:smallCaps w:val="false"/>
          <w:sz w:val="20"/>
        </w:rPr>
        <w:t>Underwriting Agreement</w:t>
      </w:r>
      <w:r>
        <w:rPr>
          <w:rFonts w:ascii="Times New Roman;Times;Serif" w:hAnsi="Times New Roman;Times;Serif"/>
          <w:b w:val="false"/>
          <w:i w:val="false"/>
          <w:caps w:val="false"/>
          <w:smallCaps w:val="false"/>
          <w:sz w:val="20"/>
        </w:rPr>
        <w:t>”) to be entered into by and between the Company and Lake Street Capital Markets, LLC, as representative of the several underwriters named therein (the “</w:t>
      </w:r>
      <w:r>
        <w:rPr>
          <w:rFonts w:ascii="Times New Roman;Times;Serif" w:hAnsi="Times New Roman;Times;Serif"/>
          <w:b/>
          <w:i/>
          <w:caps w:val="false"/>
          <w:smallCaps w:val="false"/>
          <w:sz w:val="20"/>
        </w:rPr>
        <w:t>Representative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in connection with the proposed issuance and sale of the Securities, we have examined: (i) the Company’s certificate of incorporation, as amended and restated, and bylaws, as amended and restated, each as currently in effect; (ii) certain resolutions of the Company’s board of directors relating to the issuance and sale of the Securities; (iii) the form of Underwriting Agreement; (iv) the form of Warrant Agency Agreement to be entered into between the Company and Continental Stock Transfer &amp; Trust Company, as warrant agent (in such capacity, the “Warrant Agent”); (v) the form of Two-Year Milestone Warrant; (vi) the form of Five-Year Milestone Warrant; (vii) the form of Pre-Funded Warrant; (viii) the Registration Statement; and (ix) such other proceedings, documents, and records as we have deemed necessary to enable us to render this opinion. In all such examinations, we have assumed the genuineness of all signatures, the authenticity of all documents, certificates, and instruments submitted to us as originals, and the conformity with the originals of all documents, certificates, and instruments submitted to us as copies. We have also assumed the due execution and delivery of all documents where due execution and delivery are prerequisite to the effectiveness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below with respect to the validity or binding effect of any security or obligation may be limited by (i) bankruptcy, insolvency, reorganization, fraudulent conveyance, marshaling, moratorium or other similar laws affecting the enforcement generally of the rights and remedies of creditors and secured parties or the obligations of debtors, (ii) general principles of equity (whether considered in a proceeding in equity or at law), including but not limited to principles limiting the availability of specific performance or injunctive relief, and concepts of materiality, reasonableness, good faith and fair dealing, (iii) the possible unenforceability under certain circumstances of provisions providing for indemnification, contribution, exculpation, release or waiver that may be contrary to public policy or violative of federal or state securities laws, rules or regulations, and (iv) the effect of course of dealing, course of performance, oral agreements or the like that would modify the terms of an agreement or the respective rights or obligations of the parties under 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subject to and limited by the foregoing, we are of the opinion that, following (i) execution and delivery by the Company and the Representative of the Underwriting Agreement, (ii) execution and delivery by the Company and the Warrant Agent of the Warrant Agency Agreement, (iii) execution and delivery by the Company of the Pre-Funded Warrants, the Two-Year Milestone Warrants and the Five-Year Milestone Warrants, (iv) countersignature of the Pre-Funded Warrants, the Two-Year Milestone Warrants and the Five-Year Milestone Warrants by the Warrant Agent in accordance with the terms of the Warrant Agency Agreement, (v) effectiveness of the Registration Statement, (vi) issuance of the Securities pursuant to the terms of the Underwriting Agreement, and (vii) the receipt by the Company of the applicable consideration for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Securities have been duly authorized for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Shares, when issued, delivered and paid for in accordance with the terms of the Underwriting Agreement and in accordance with and in the manner described in the Registration Statement, will be validly issued, fully paid and nonassessable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Pre-Funded Warrants, the Two-Year Milestone Warrants and the Five-Year Milestone Warrants (collectively, the “Warrants”), when duly executed and delivered by the Company and countersigned by the Warrant Agent in accordance with the terms of the Warrant Agency Agreement and delivered against payment therefor in accordance with the terms of the Underwriting Agreement and in accordance with and in the manner described in the Registration Statement, will constitute valid and binding obligations of the Company, enforceable against the Company in accordance with their terms;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Warrant Shares, when issued, delivered and paid for in accordance with the terms of the Milestone Warrants or the Pre-Funded Warrants, as applicable, will be validly issued, fully paid and non-assessable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this opinion is to be used only in connection with the offer, sale, and issuance of the Securities while the Registration Statement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speaks only as of the date hereof and we assume no obligation to update or supplement this opinion if any applicable laws change after the date of this opinion or if we become aware after the date of this opinion of any facts, whether existing before or arising after the date hereof, that might change the opinions expressed above. This opinion is furnished in connection with the filing of the Registration Statement and may not be relied upon for any other purpose without our prior written consent in each instance. Further, no portion of this opinion may be quoted, circulated or referred to in any other document for any other purpose without our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SEC as Exhibit 5.1 to the Registration Statement and to the use of our name under the caption “Legal Matters” in the Registration Statement. In giving such consent, we do not thereby admit that we come within the category of persons whose consent is required under Section 7 of the Securities Act or the rules and regulations of the SEC promulgated thereunder.</w:t>
      </w:r>
    </w:p>
    <w:p>
      <w:pPr>
        <w:pStyle w:val="TextBody"/>
        <w:bidi w:val="0"/>
        <w:spacing w:before="0" w:after="0"/>
        <w:ind w:left="0" w:right="0" w:hanging="0"/>
        <w:jc w:val="left"/>
        <w:rPr>
          <w:caps w:val="false"/>
          <w:smallCaps w:val="false"/>
        </w:rPr>
      </w:pPr>
      <w:r>
        <w:rPr>
          <w:caps w:val="false"/>
          <w:smallCaps w:val="false"/>
        </w:rPr>
        <w:t> </w:t>
      </w:r>
    </w:p>
    <w:tbl>
      <w:tblPr>
        <w:tblW w:w="2420" w:type="dxa"/>
        <w:jc w:val="left"/>
        <w:tblInd w:w="0" w:type="dxa"/>
        <w:tblLayout w:type="fixed"/>
        <w:tblCellMar>
          <w:top w:w="0" w:type="dxa"/>
          <w:left w:w="0" w:type="dxa"/>
          <w:bottom w:w="0" w:type="dxa"/>
          <w:right w:w="0" w:type="dxa"/>
        </w:tblCellMar>
      </w:tblPr>
      <w:tblGrid>
        <w:gridCol w:w="2420"/>
      </w:tblGrid>
      <w:tr>
        <w:trPr/>
        <w:tc>
          <w:tcPr>
            <w:tcW w:w="242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Very truly yours,</w:t>
            </w:r>
          </w:p>
        </w:tc>
      </w:tr>
      <w:tr>
        <w:trPr/>
        <w:tc>
          <w:tcPr>
            <w:tcW w:w="2420" w:type="dxa"/>
            <w:tcBorders/>
            <w:vAlign w:val="center"/>
          </w:tcPr>
          <w:p>
            <w:pPr>
              <w:pStyle w:val="TableContents"/>
              <w:bidi w:val="0"/>
              <w:spacing w:before="0" w:after="283"/>
              <w:ind w:left="0" w:right="0" w:hanging="200"/>
              <w:jc w:val="left"/>
              <w:rPr/>
            </w:pPr>
            <w:r>
              <w:rPr/>
              <w:t> </w:t>
            </w:r>
          </w:p>
        </w:tc>
      </w:tr>
      <w:tr>
        <w:trPr/>
        <w:tc>
          <w:tcPr>
            <w:tcW w:w="2420" w:type="dxa"/>
            <w:tcBorders>
              <w:bottom w:val="single" w:sz="8" w:space="0" w:color="000000"/>
            </w:tcBorders>
            <w:tcMar>
              <w:bottom w:w="28"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/s/ Sullivan &amp; Worcester LLP</w:t>
            </w:r>
          </w:p>
        </w:tc>
      </w:tr>
      <w:tr>
        <w:trPr/>
        <w:tc>
          <w:tcPr>
            <w:tcW w:w="2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Sullivan &amp; Worcester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3638550" cy="285750"/>
            <wp:effectExtent l="0" t="0" r="0" b="0"/>
            <wp:docPr id="9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 descr=""/>
                    <pic:cNvPicPr>
                      <a:picLocks noChangeAspect="1" noChangeArrowheads="1"/>
                    </pic:cNvPicPr>
                  </pic:nvPicPr>
                  <pic:blipFill>
                    <a:blip r:embed="rId77"/>
                    <a:stretch>
                      <a:fillRect/>
                    </a:stretch>
                  </pic:blipFill>
                  <pic:spPr bwMode="auto">
                    <a:xfrm>
                      <a:off x="0" y="0"/>
                      <a:ext cx="3638550" cy="285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32" w:name="tm2615250d4_ex10-31.htm"/>
      <w:bookmarkStart w:id="33" w:name="kstm2615250d4_ex1031"/>
      <w:bookmarkEnd w:id="32"/>
      <w:bookmarkEnd w:id="3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Lake Street Capital Markets,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South 8th Street, Suite 1000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Laidlaw &amp; Company (UK)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Fifth Avenue, 12th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Private and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 Biopharma,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Park Plaza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1750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 92614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Robert Bancroft</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Robert: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AEON Biopharma, Inc., a Delaware corporation (the “Company”), has requested that Lake Street Capital Markets, LLC and Laidlaw &amp; Company (UK) Ltd. (collectively, the “Agents”) act as the Company’s solicitation agents in connection with the exercise of the Common Warrants (as defined in the Underwriting Agreement) and the Option Common Warrants (as defined in the Underwriting Agreement) (the Common Warrants and the Option Common Warrants together, the “Milestone Warrants”) to be issued pursuant to that certain Underwriting Agreement, dated as of the date hereof (the “Underwriting Agreement”), between the Company and Lake Street Capital Markets, LLC, as representative of the several underwriters named therein, including Laidlaw &amp; Company (UK) Ltd. (the “Services”). The Agents have agreed to perform the Services subject to the execution of this agreement (the “Letter Agreement”), and the Company hereby authorizes the Agents to contact Warrant holders (the “Holders”) in performing the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the Services, no later than five (5) business days following each calendar quarter, the Company shall indicate how many Milestone Warrant Securities have been issued to warrantholders upon the cash exercise of the Milestone Warrants and pay the Agents a fee consisting of a cash payment equal to the Applicable Percentage (as defined below) of the cash exercise payment received by the Company for all cash exercises of the Milestone Warrants during the then-ended calendar quarter (the “Warrant Solicitation Fee”), with such Warrant Solicitation Fee allocated among the Agents in proportion to the number of Firm Securities set forth opposite their respective names in Schedule 1 of the Underwriting Agreement and payable by wire transfer of immediately available funds to a bank account designated by such Agent. The Applicable Percentage shall equal (i) 3.0% if at the time of such cash exercise the aggregate number of Milestone Warrant Securities that have been issued to warrantholders upon the cash exercise of the Milestone Warrants, including the Milestone Warrant Securities issued upon such exercise, equals between 0-[●]</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(subject to appropriate adjustment for stock splits, stock dividends, combinations, and other recapitalizations), (ii) 3.75% if at the time of such cash exercise the aggregate number of Milestone Warrant Securities issued to warrantholders upon the cash exercise of the Milestone Warrants, including the Milestone Warrant Securities issued upon such exercise, equals between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(subject to appropriate adjustment for stock splits, stock dividends, combinations, and other recapitalizations) and (iii) 4.50% if at the time of such cash exercise the aggregate number of Milestone Warrant Securities issued to warrantholders upon the cash exercise of the Milestone Warrants, including the Milestone Warrant Securities issued upon such exercise, equals between [●]-[●]</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(subject to appropriate adjustment for stock splits, stock dividends, combinations, and other recapitalizations). If upon the cash exercise of a Milestone Warrant a portion of the Milestone Warrant Securities subject to exercise falls within more than one of the above-listed Applicable Percentages then the Applicable Percentage shall be pro rata split between such Applicable Percentages (for example, if upon the cash exercise of a Milestone Warrant for 1,000 Milestone Warrant Securities, the first 250 Milestone Warrant Securities were within the Milestone Warrant Security threshold in the preceding clause (i), and the 251</w:t>
      </w:r>
      <w:r>
        <w:rPr>
          <w:rFonts w:ascii="Times New Roman;Times;Serif" w:hAnsi="Times New Roman;Times;Serif"/>
          <w:b w:val="false"/>
          <w:i w:val="false"/>
          <w:caps w:val="false"/>
          <w:smallCaps w:val="false"/>
          <w:position w:val="7"/>
          <w:sz w:val="16"/>
          <w:sz w:val="20"/>
        </w:rPr>
        <w:t xml:space="preserve">st </w:t>
      </w:r>
      <w:r>
        <w:rPr>
          <w:rFonts w:ascii="Times New Roman;Times;Serif" w:hAnsi="Times New Roman;Times;Serif"/>
          <w:b w:val="false"/>
          <w:i w:val="false"/>
          <w:caps w:val="false"/>
          <w:smallCaps w:val="false"/>
          <w:sz w:val="20"/>
        </w:rPr>
        <w:t>Warrant Share resulted in the aggregate Milestone Warrant Securities qualifying for the Milestone Warrant Securities threshold in the preceding clause (ii), then the Applicable Percentage would equal 3.00% as it relates to the first 250 Milestone Warrant Securities and 3.75% as it relates to the remaining 750 Milestone Warrant Securities). “Milestone Warrant Securities” means the shares of Class A common stock, par value $0.0001 per share, of the Company (the “Common Stock”), issued upon the exercise of the Milestone Warrants and the shares of Common Stock underlying any Pre-Funded Warrants (as defined in the Underwriting Agreement) issued upon exercise of the Milestone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NTD: To equal 24.99% of the shares of common stock underlying the Milestone Warrants.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NTD: To equal 25.00%-49.99% of the shares of common stock underlying the Milestone Warrants.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NTD: To equal 50.00%-100% of the shares of common stock underlying the Milestone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one or more Agents, the Company will furnish the Agents with all information concerning the Company and the Holders that the Agents reasonably deem appropriate and necessary for the purpose of rendering the Services. The Company understands and confirms that (i) the Agents will rely, without independent investigation or verification, upon the accuracy and completeness of such information supplied by or on behalf of the Company and upon publicly available information and such other information as the Agents may each deem appropriate and necessary in connection with the Services, and (ii) the Agents will not be responsible for assuming, and do not assume, any responsibility for independent investigation or verification of any such information or for the accuracy or completeness thereof, and shall not be liable for any inaccuracies or omissions therein. The Company will notify the Agents promptly of (A) any material inaccuracy or misstatement in, or material omission from, any information previously furnished to the Agents and (B) the receipt by the Company of any communication from the SEC or any state securities commissioner or any regulatory authority or the commencement of any lawsuit or proceeding to which the Company is a party relating to the Milestone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none of the Agents, any of their respective affiliates or their respective officers, directors, employees, agents and controlling persons (each, an “Advisor Party”) shall have any liability (whether direct or indirect, in contract, tort or otherwise) to the Company or any other person asserting claims on behalf of or in right of the Company for any Loss (as defined below) (a) by reason of any unauthorized use, reliance, publication, distribution of or reference to any of the advice or opinions provided by the Agents or any unauthorized reference to the Agents or the engagement or (b) in connection with the Services, the engagement or the Agents’ services performed or contemplated thereby, except in the case of clause (b), solely with respect to the Company, to the extent that any such Loss is finally judicially determined by a court of competent jurisdiction to have resulted from such Advisor Party’s gross negligence or willful misconduct in the performance of the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(the “Indemnifying Party”) agrees to indemnify and hold harmless each of the Agents, each of their affiliates and their and each of their respective officers, directors, employees, advisors, representatives, agents and controlling persons (each of the foregoing, an “Indemnified Party” and collectively, the “Indemnified Parties”) from and against any and all losses, claims, demands, damages, liabilities and expenses of any kind (including, without limitation, legal fees and other expenses incurred in connection with any suit, action, investigation or proceeding or any claim asserted), joint or several (collectively, “Losses”), incurred by any of the Indemnified Parties or to which any such Indemnified Party may become subject: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497"/>
        <w:gridCol w:w="9627"/>
      </w:tblGrid>
      <w:tr>
        <w:trPr/>
        <w:tc>
          <w:tcPr>
            <w:tcW w:w="8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pPr>
            <w:r>
              <w:rPr/>
              <w:t>(i)</w:t>
            </w:r>
          </w:p>
        </w:tc>
        <w:tc>
          <w:tcPr>
            <w:tcW w:w="9627" w:type="dxa"/>
            <w:tcBorders/>
            <w:vAlign w:val="center"/>
          </w:tcPr>
          <w:p>
            <w:pPr>
              <w:pStyle w:val="TableContents"/>
              <w:bidi w:val="0"/>
              <w:spacing w:before="0" w:after="283"/>
              <w:jc w:val="both"/>
              <w:rPr/>
            </w:pPr>
            <w:r>
              <w:rPr/>
              <w:t>related to, arising out of, or in connection with: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283"/>
              <w:jc w:val="both"/>
              <w:rPr/>
            </w:pPr>
            <w:r>
              <w:rPr/>
              <w:t>any oral or written information (including, for the avoidance of doubt, the materials, provided by, or any action taken or omitted to be taken by, the Indemnifying Party, its officers, directors, employees, advisors, representatives, agents or controlling persons),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(2)</w:t>
            </w:r>
          </w:p>
        </w:tc>
        <w:tc>
          <w:tcPr>
            <w:tcW w:w="9908" w:type="dxa"/>
            <w:tcBorders/>
            <w:vAlign w:val="center"/>
          </w:tcPr>
          <w:p>
            <w:pPr>
              <w:pStyle w:val="TableContents"/>
              <w:bidi w:val="0"/>
              <w:spacing w:before="0" w:after="283"/>
              <w:jc w:val="both"/>
              <w:rPr/>
            </w:pPr>
            <w:r>
              <w:rPr/>
              <w:t>any action taken or to be taken by an Indemnified Party with the consent of the Indemnifying Party or in conformity with the instructions of the Indemnifying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6" w:type="dxa"/>
            <w:tcBorders/>
            <w:vAlign w:val="center"/>
          </w:tcPr>
          <w:p>
            <w:pPr>
              <w:pStyle w:val="TableContents"/>
              <w:bidi w:val="0"/>
              <w:spacing w:before="0" w:after="283"/>
              <w:jc w:val="both"/>
              <w:rPr/>
            </w:pPr>
            <w:r>
              <w:rPr/>
              <w:t>otherwise related to, arising out of, or in connection with the Agents’ (or their affiliates’) engagement pursuant to this Letter Agreement, the Agents’ (or their affiliates’) performance of any services in connection herewith or in connection with the Services;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(iii)</w:t>
            </w:r>
          </w:p>
        </w:tc>
        <w:tc>
          <w:tcPr>
            <w:tcW w:w="9880" w:type="dxa"/>
            <w:tcBorders/>
            <w:vAlign w:val="center"/>
          </w:tcPr>
          <w:p>
            <w:pPr>
              <w:pStyle w:val="TableContents"/>
              <w:bidi w:val="0"/>
              <w:spacing w:before="0" w:after="283"/>
              <w:jc w:val="both"/>
              <w:rPr/>
            </w:pPr>
            <w:r>
              <w:rPr/>
              <w:t>related to, arising out of, or in connection with any commenced or threatened suit, action, claim, litigation, investigation or proceeding (including, without limitation, usual and customary per diem compensation for any Indemnified Party’s involvement in discovery proceedings or testimony), relating to or arising out of the foregoing (each a “Proceeding”), regardless of whether any such Indemnified Party is a party thereto and whether or not such Proceeding is initiated or brought by or on behalf of the Indemnifying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Indemnifying Party further agrees to reimburse immediately upon request such Indemnified Parties for any expenses (including, without limitation, legal fees and other expenses incurred in connection with any suit, action, investigation or proceeding or any claim asserted) as they are incurred in connection with investigating, preparing for and defending or providing evidence in any of the foregoing, including in connection with the enforcement of the indemnification and reimbursement provided for herein. Notwithstanding the foregoing, in the case of clause (ii) of the preceding paragraph, the Indemnifying Party shall not have any indemnification or reimbursement obligation to any Indemnified Party to the extent that any Loss is finally judicially determined by a court of competent jurisdiction to have resulted solely from the gross negligence or willful misconduct of such Indemnified Party in the performance of its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gross negligence or willful misconduct of any Agent shall not be attributed to or otherwise affect the indemnification, exculpation or any other rights hereunder of the other Agent, and no Agent shall be a representative or agent of the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for any reason the foregoing indemnification and reimbursement is unavailable to any Indemnified Party or insufficient in respect of any Losses referred to therein to hold it harmless, then the Indemnifying Party agrees to contribute to the amount paid or payable by such Indemnified Party as a result of such Losses (i) in such proportion as is appropriate to reflect the relative benefits received by the Indemnifying Party, on the one hand, and such Indemnified Party, on the other hand, of the Services or (ii) if (but only if) the allocation provided for in clause (i) is for any reason unenforceable, in such proportion as is appropriate to reflect not only such relative benefits but also the relative fault of the Indemnifying Party, on the one hand, and such Indemnified Party, on the other hand, as well as any relevant equitable considerations. It is hereby agreed that for purposes of this paragraph the relative benefits to the Indemnifying Party, on the one hand, and all Indemnified Parties, on the other hand, of the Services shall be deemed to be in the same proportion as (i) the gross aggregate cash from the exercise of the Milestone Warrants (before deducting expenses) received by the Company, bears to (ii) the total Warrant Solicitation Fee received by the Agents,; provided that in no event shall the Indemnified Parties be required to contribute an aggregate amount in excess of the fees actually received by such Agent. The parties agree that it would not be just and equitable if contribution were determined by pro rata allocation or by any other method of allocation that does not take into account the equitable considerations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receipt of notice of the commencement of any Proceeding against the Agents or any other Indemnified Party, the Agents or any other Indemnified Party shall notify the Indemnifying Party in writing of the commencement thereof; provided that any failure or delay in so notifying shall not relieve the Indemnifying Party of any liability that it may have to the Agents or any other Indemnified Party except and only to the extent that such failure materially prejudices the ability to defend the Proceeding. The Indemnifying Party shall have 30 days after receipt of notice to undertake, at its own expense, the settlement or defense of the Proceeding, including prompt employment of counsel acceptable to the Indemnified Parties affected and payment of all expenses. The relevant Indemnified Parties shall have the right to participate in the settlement or defense of the Proceeding. The relevant Indemnified Parties may retain one firm of separate counsel in each relevant jurisdiction to represent them in the settlement or defense of the Proceeding, at the expense of the Indemnifying Party, if (i) the Indemnifying Party does not assume the defense of the Proceeding within 30 days of receipt of notice; (ii) the Indemnifying Party agrees to separate representation; (iii) the Agents are advised in writing by counsel that there is an actual or potential conflict in the Indemnifying Party’s and the Indemnified Parties’ respective interests or additional defenses are available to the Indemnified Parties that are not available to the Indemnifying Party, which makes representation by the same counsel inappropriate or (iv) the Agents are advised in writing by counsel that the subject matter of the Proceeding may not fall within the indemnity set forth herein, which makes representation by the same counsel inappropriate. The Indemnifying Party agrees that, without an Indemnified Party’s prior written consent, it will not settle, compromise or consent to the entry of any judgment in or otherwise seek to terminate any Proceeding in respect of which indemnification could be sought under the indemnification provisions of this Letter Agreement (whether or not the Agents or any other Indemnified Party is an actual or potential party to such Proceeding), or participate in or otherwise facilitate any such settlement, compromise, consent or termination by or on behalf of any person or entity, unless such settlement, compromise, consent or termination (i) includes an unconditional release of such Indemnified Party, in form and substance satisfactory to such Indemnified Party, from, and holds such Indemnified Party harmless against, all liability arising out of such Proceeding and (ii) does not include any statement as to or any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Indemnifying Party will promptly notify an Indemnified Party of the assertion against it or any other person of any Proceeding or the commencement thereof relating to or arising out of any matter referred to in this Letter Agreement, including, without limitation, an Indemnified Party’s services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help the government fight the funding of terrorism and money laundering activities, U.S. federal law requires financial institutions to obtain, verify and record information that identifies each individual or institution that opens an account or establishes a new client relationship with the Agents. Accordingly, pursuant to Section 326 of the USA PATRIOT Act, 31 U.S.C. §5318, the Agents may request information, including the individual or institution’s full legal name, address, taxpayer identification number and other information to verify such person’s identity as part of the Agents' AML compliance program. If all required documentation or information is not provided, the Agents may be unable to open an account or establish a relationship with the Company. This section hereby notifies the Company of such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any of its subsidiaries, directors or officers or, to the best knowledge of the Company, any of its affiliates, agents or employees, has engaged in any activity or conduct that would violate any applicable anti-bribery, anti-corruption or anti-money laundering laws or regulations in any applicable jurisdiction and the Company has instituted and maintains policies and procedures designed to prevent violation of such laws, regulations and rules. None of the Company, any of its subsidiaries, directors or officers or, to the best knowledge of the Company, any of its affiliates, agents or employees, is currently a person with whom dealings are restricted or prohibited by any Sanctions (as defined below). The Company covenants and agrees that it will not directly or indirectly use the proceeds from the exercise of the Milestone Warrants or lend, contribute or otherwise make available such proceeds to any subsidiary, sister company, joint venture partner or other person or entity (i) for the purpose of financing or facilitating any activity of or transaction or business with any person or entity, or in any country or territory, that, at the time of such funding or facilitation, is a person, entity, country or territory with which dealings are restricted or prohibited by any Sanctions (including any person owned or controlled by any person subject to any Sanctions) or (ii) in any other manner that will result in a violation by any person (including any person participating in the Services) of Sanctions. For the purpose of this Letter Agreement, “Sanctions” means any economic or trade sanctions or restrictive measures enacted, administered, imposed or enforced by the U.S. Department of the Treasury’s Office of Foreign Assets Control (OFAC), the U.S. Department of State, the United Nations Security Council, His Majesty’s Treasury and/or the European Union or other relevant sanctions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this Letter Agreement shall extend from the date hereof until the date on which all of the Milestone Warrants have expired by their terms (the “Term”). Each Agent, with respect to itself, may terminate this Letter Agreement at any time, with or without cause, by giving the Company at least five calendar days’ prior written notice. If this Letter Agreement is terminated by one or more Agents, this Letter Agreement shall thereafter have no effect with respect to any such terminating Agent except the allocation of the Warrant Solicitation Fee shall be proportionally adjusted such that the continuing Agent will each receive the percentage of the Warrant Solicitation Fee previously allocated to the departing Agent. The indemnification obligations herein shall survive the termination or expiration of this Letter Agreement for Losses occurring prior to the date of such termination or expiration.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Agent (i) has been retained hereunder solely to provide the Services as provided for herein, and not as an advisor to any other person, and any duties (which will not be fiduciary duties) arising out of the Agents’ engagement will be owed solely to the Company with respect to the matters contemplated hereby and not to any other person, (ii) is engaged hereunder as an independent contractor, (iii) is not acting as an agent of the Company or in a fiduciary capacity with respect to the Company or any other person, and (iv) is not and will not be responsible for any underlying business decision to effect the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the Company shall be permitted, without the prior written consent of the Agents, to (i) describe this Letter Agreement (including the Warrant Solicitation Fee and the material terms hereof) in, and file this Letter Agreement as an exhibit to, the Registration Statement, any final prospectus, any Current Report on Form 8-K, or any other filing required or advisable to be made with the SEC or FINRA in connection with the Offering or the Milestone Warrants, (ii) disclose the existence and terms of this Letter Agreement to its directors, officers, employees, legal counsel, auditors, financial advisors and other professional advisors on a need-to-know basis, and (iii) disclose the existence and terms of this Letter Agreement as required by law, the rules of any applicable securities exchange, or any subpoena or similar legal process. Except as expressly permitted by the foregoing, the Company agrees not to disclose the existence of this Letter Agreement or the contents hereof without the prior written consent of the Agents (such consent not to be unreasonably withheld, conditioned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given pursuant to any of the provisions of this Letter Agreement shall be in writing and shall be mailed, emailed or delivered (a) to the Company, at the address listed on the front of this Letter Agreement, and at the email address: aw@aeonbiopharma.com; (b) Lake Street Capital Markets, LLC, 121 South 8th Street, Suite 1000, Minneapolis, Minnesota 55402, Attention: Head of Investment Banking, with a copy sent via email to CapitalMarkets@lakestreetcm.com and to jon.zimmerman@faegredrinker.com; and [(c) 521 Fifth Avenue, 12th Floor, New York, NY 10175, Attention:</w:t>
        <w:tab/>
        <w:t>     Hugh Regan, with a copy sent via email to hregan@laidlawltd.com]</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Notice by mail or delivery shall be deemed conclusively to have been given and received upon delivery to a responsible officer or employee of the addressee, and notice by email shall be deemed conclusively to have been given upon confirmation of receipt by the addressee by sending an email to the sender. Either party may change its address by notice to the other in the manner aforesaid.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governed by the laws of the State of New York and shall remain operative and in full force and effect from the date hereof. This Letter Agreement shall be binding upon and inure to the benefit of any successors, assigns, heirs or representatives of the Company or any Indemnified Party. Any right of trial by jury in any action, proceeding or counterclaim (whether based upon contract, tort or otherwise) related to or arising out of this Letter Agreement is hereby waived by the parties hereto. The parties hereto hereby submit to the exclusive jurisdiction of the federal and New York state courts located in the Borough of Manhattan in connection with any dispute related to this Letter Agreement or any of the matters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NTD: To be confirmed.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amended, supplemented or changed, and any provision hereof or thereof may be waived, only by a written instrument making specific reference to this Letter Agreement which is signed by the parties hereto. The waiver by any party hereto of a breach of any provision of this Letter Agreement shall not operate or be construed as a further or continuing waiver of such breach or as a waiver of any other or subsequent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301- 309), as amended from time to time, or other applicable law will be deemed original signatures for purposes of this Letter Agreement. Transmission by telecopy, electronic mail or other transmission method of an executed counterpart of this Letter Agreement will constitute due and sufficient delivery of such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39" w:type="dxa"/>
        <w:jc w:val="left"/>
        <w:tblInd w:w="0" w:type="dxa"/>
        <w:tblLayout w:type="fixed"/>
        <w:tblCellMar>
          <w:top w:w="0" w:type="dxa"/>
          <w:left w:w="0" w:type="dxa"/>
          <w:bottom w:w="0" w:type="dxa"/>
          <w:right w:w="0" w:type="dxa"/>
        </w:tblCellMar>
      </w:tblPr>
      <w:tblGrid>
        <w:gridCol w:w="75"/>
        <w:gridCol w:w="1005"/>
        <w:gridCol w:w="1759"/>
      </w:tblGrid>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Lake Street Capital Markets, LLC</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5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c>
          <w:tcPr>
            <w:tcW w:w="1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c>
          <w:tcPr>
            <w:tcW w:w="1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Laidlaw &amp; Company (UK) Ltd.</w:t>
            </w:r>
          </w:p>
        </w:tc>
      </w:tr>
      <w:tr>
        <w:trPr/>
        <w:tc>
          <w:tcPr>
            <w:tcW w:w="75" w:type="dxa"/>
            <w:tcBorders/>
            <w:vAlign w:val="center"/>
          </w:tcPr>
          <w:p>
            <w:pPr>
              <w:pStyle w:val="TableContents"/>
              <w:bidi w:val="0"/>
              <w:spacing w:before="0" w:after="283"/>
              <w:jc w:val="left"/>
              <w:rPr/>
            </w:pPr>
            <w:r>
              <w:rPr/>
              <w:t> </w:t>
            </w:r>
          </w:p>
        </w:tc>
        <w:tc>
          <w:tcPr>
            <w:tcW w:w="27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5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c>
          <w:tcPr>
            <w:tcW w:w="1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1005" w:type="dxa"/>
            <w:tcBorders/>
            <w:vAlign w:val="center"/>
          </w:tcPr>
          <w:p>
            <w:pPr>
              <w:pStyle w:val="TableContents"/>
              <w:bidi w:val="0"/>
              <w:spacing w:before="0" w:after="283"/>
              <w:jc w:val="left"/>
              <w:rPr/>
            </w:pPr>
            <w:r>
              <w:rPr/>
              <w:t> </w:t>
            </w:r>
          </w:p>
        </w:tc>
        <w:tc>
          <w:tcPr>
            <w:tcW w:w="1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2329" w:type="dxa"/>
        <w:jc w:val="left"/>
        <w:tblInd w:w="0" w:type="dxa"/>
        <w:tblLayout w:type="fixed"/>
        <w:tblCellMar>
          <w:top w:w="0" w:type="dxa"/>
          <w:left w:w="0" w:type="dxa"/>
          <w:bottom w:w="0" w:type="dxa"/>
          <w:right w:w="0" w:type="dxa"/>
        </w:tblCellMar>
      </w:tblPr>
      <w:tblGrid>
        <w:gridCol w:w="858"/>
        <w:gridCol w:w="1396"/>
        <w:gridCol w:w="75"/>
      </w:tblGrid>
      <w:tr>
        <w:trPr/>
        <w:tc>
          <w:tcPr>
            <w:tcW w:w="22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Accepted and agreed as of</w:t>
            </w:r>
          </w:p>
        </w:tc>
        <w:tc>
          <w:tcPr>
            <w:tcW w:w="75" w:type="dxa"/>
            <w:tcBorders/>
            <w:vAlign w:val="center"/>
          </w:tcPr>
          <w:p>
            <w:pPr>
              <w:pStyle w:val="TableContents"/>
              <w:bidi w:val="0"/>
              <w:spacing w:before="0" w:after="283"/>
              <w:jc w:val="left"/>
              <w:rPr/>
            </w:pPr>
            <w:r>
              <w:rPr/>
              <w:t> </w:t>
            </w:r>
          </w:p>
        </w:tc>
      </w:tr>
      <w:tr>
        <w:trPr/>
        <w:tc>
          <w:tcPr>
            <w:tcW w:w="22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first above written:</w:t>
            </w:r>
          </w:p>
        </w:tc>
        <w:tc>
          <w:tcPr>
            <w:tcW w:w="75" w:type="dxa"/>
            <w:tcBorders/>
            <w:vAlign w:val="center"/>
          </w:tcPr>
          <w:p>
            <w:pPr>
              <w:pStyle w:val="TableContents"/>
              <w:bidi w:val="0"/>
              <w:spacing w:before="0" w:after="283"/>
              <w:jc w:val="left"/>
              <w:rPr/>
            </w:pPr>
            <w:r>
              <w:rPr/>
              <w:t> </w:t>
            </w:r>
          </w:p>
        </w:tc>
      </w:tr>
      <w:tr>
        <w:trPr/>
        <w:tc>
          <w:tcPr>
            <w:tcW w:w="22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AEON Biopharma, Inc.</w:t>
            </w:r>
          </w:p>
        </w:tc>
        <w:tc>
          <w:tcPr>
            <w:tcW w:w="75" w:type="dxa"/>
            <w:tcBorders/>
            <w:vAlign w:val="center"/>
          </w:tcPr>
          <w:p>
            <w:pPr>
              <w:pStyle w:val="TableContents"/>
              <w:bidi w:val="0"/>
              <w:spacing w:before="0" w:after="283"/>
              <w:jc w:val="left"/>
              <w:rPr/>
            </w:pPr>
            <w:r>
              <w:rPr/>
              <w:t> </w:t>
            </w:r>
          </w:p>
        </w:tc>
      </w:tr>
      <w:tr>
        <w:trPr/>
        <w:tc>
          <w:tcPr>
            <w:tcW w:w="22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9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5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858"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b/>
        </w:rPr>
      </w:pPr>
      <w:bookmarkStart w:id="34" w:name="tm2615250d4_ex23-1.htm"/>
      <w:bookmarkStart w:id="35" w:name="kstm2615250d4_ex231"/>
      <w:bookmarkEnd w:id="34"/>
      <w:bookmarkEnd w:id="35"/>
      <w:r>
        <w:rPr>
          <w:b/>
        </w:rPr>
        <w:t>Exhibit 23.1</w:t>
      </w:r>
      <w:r>
        <w:br w:type="page"/>
      </w:r>
    </w:p>
    <w:p>
      <w:pPr>
        <w:pStyle w:val="TextBody"/>
        <w:bidi w:val="0"/>
        <w:spacing w:before="0" w:after="0"/>
        <w:ind w:left="0" w:right="0" w:hanging="0"/>
        <w:jc w:val="left"/>
        <w:rPr/>
      </w:pPr>
      <w:r>
        <w:rPr/>
        <w:t> </w:t>
      </w:r>
    </w:p>
    <w:tbl>
      <w:tblPr>
        <w:tblW w:w="4505" w:type="dxa"/>
        <w:jc w:val="left"/>
        <w:tblInd w:w="0" w:type="dxa"/>
        <w:tblLayout w:type="fixed"/>
        <w:tblCellMar>
          <w:top w:w="0" w:type="dxa"/>
          <w:left w:w="0" w:type="dxa"/>
          <w:bottom w:w="0" w:type="dxa"/>
          <w:right w:w="0" w:type="dxa"/>
        </w:tblCellMar>
      </w:tblPr>
      <w:tblGrid>
        <w:gridCol w:w="1725"/>
        <w:gridCol w:w="2780"/>
      </w:tblGrid>
      <w:tr>
        <w:trPr/>
        <w:tc>
          <w:tcPr>
            <w:tcW w:w="1725" w:type="dxa"/>
            <w:tcBorders/>
            <w:vAlign w:val="center"/>
          </w:tcPr>
          <w:p>
            <w:pPr>
              <w:pStyle w:val="TableContents"/>
              <w:bidi w:val="0"/>
              <w:spacing w:before="0" w:after="283"/>
              <w:jc w:val="left"/>
              <w:rPr/>
            </w:pPr>
            <w:r>
              <w:rPr/>
              <w:drawing>
                <wp:inline distT="0" distB="0" distL="0" distR="0">
                  <wp:extent cx="1085850" cy="466725"/>
                  <wp:effectExtent l="0" t="0" r="0" b="0"/>
                  <wp:docPr id="9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 descr=""/>
                          <pic:cNvPicPr>
                            <a:picLocks noChangeAspect="1" noChangeArrowheads="1"/>
                          </pic:cNvPicPr>
                        </pic:nvPicPr>
                        <pic:blipFill>
                          <a:blip r:embed="rId78"/>
                          <a:stretch>
                            <a:fillRect/>
                          </a:stretch>
                        </pic:blipFill>
                        <pic:spPr bwMode="auto">
                          <a:xfrm>
                            <a:off x="0" y="0"/>
                            <a:ext cx="1085850" cy="466725"/>
                          </a:xfrm>
                          <a:prstGeom prst="rect">
                            <a:avLst/>
                          </a:prstGeom>
                        </pic:spPr>
                      </pic:pic>
                    </a:graphicData>
                  </a:graphic>
                </wp:inline>
              </w:drawing>
            </w:r>
          </w:p>
        </w:tc>
        <w:tc>
          <w:tcPr>
            <w:tcW w:w="2780" w:type="dxa"/>
            <w:tcBorders/>
            <w:vAlign w:val="center"/>
          </w:tcPr>
          <w:p>
            <w:pPr>
              <w:pStyle w:val="TableContents"/>
              <w:bidi w:val="0"/>
              <w:spacing w:before="0" w:after="283"/>
              <w:jc w:val="left"/>
              <w:rPr/>
            </w:pPr>
            <w:r>
              <w:rPr/>
              <w:t> </w:t>
            </w:r>
          </w:p>
        </w:tc>
      </w:tr>
      <w:tr>
        <w:trPr/>
        <w:tc>
          <w:tcPr>
            <w:tcW w:w="172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xml:space="preserve">KPMG LLP </w:t>
              <w:br/>
              <w:t>Suite 1100</w:t>
              <w:br/>
              <w:t>4655 Executive Drive</w:t>
              <w:br/>
              <w:t xml:space="preserve">San Diego, CA 92121-3132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March 30, 2026, with respect to the consolidated financial statements of AEON Biopharma, Inc.,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br/>
        <w:t>July 8,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092"/>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0092" w:type="dxa"/>
            <w:tcBorders/>
            <w:vAlign w:val="center"/>
          </w:tcPr>
          <w:p>
            <w:pPr>
              <w:pStyle w:val="TableContents"/>
              <w:bidi w:val="0"/>
              <w:spacing w:before="0" w:after="283"/>
              <w:jc w:val="both"/>
              <w:rPr/>
            </w:pPr>
            <w:r>
              <w:rPr/>
              <w:t>KPMG LLP, a Delaware limited liability partnership, and its subsidiaries are part of the KPMG global organization of independent member firms affiliated with KPMG International Limited, a private English company limited by guarantee.</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 w:name="tm2615250d3_ex-filingfees.htm"/>
      <w:bookmarkStart w:id="37" w:name="kstm2615250d3_exfilingfees"/>
      <w:bookmarkStart w:id="38" w:name="tm2615250d3_ex-filingfees.htm"/>
      <w:bookmarkStart w:id="39" w:name="kstm2615250d3_exfilingfees"/>
      <w:bookmarkEnd w:id="38"/>
      <w:bookmarkEnd w:id="39"/>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AEON Biopharma,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59" w:type="dxa"/>
        <w:jc w:val="left"/>
        <w:tblInd w:w="0" w:type="dxa"/>
        <w:tblLayout w:type="fixed"/>
        <w:tblCellMar>
          <w:top w:w="28" w:type="dxa"/>
          <w:left w:w="28" w:type="dxa"/>
          <w:bottom w:w="28" w:type="dxa"/>
          <w:right w:w="28" w:type="dxa"/>
        </w:tblCellMar>
      </w:tblPr>
      <w:tblGrid>
        <w:gridCol w:w="1126"/>
        <w:gridCol w:w="226"/>
        <w:gridCol w:w="946"/>
        <w:gridCol w:w="1216"/>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5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$ 14,375,000.00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$ 1,985.19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Pre-Funded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underlying Pre-Funded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Two-Year Milestone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underlying Two-Year Milestone 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$ 14,375,000.00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$ 1,985.19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Five-Year Milestone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underlying Five-Year Milestone 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right"/>
              <w:rPr/>
            </w:pPr>
            <w:r>
              <w:rPr/>
              <w:t xml:space="preserve">$ 14,375,000.00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$ 1,985.19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5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40" w:name="MaxAggtOfferingPrice"/>
            <w:bookmarkEnd w:id="40"/>
            <w:r>
              <w:rPr/>
              <w:t xml:space="preserve">$ 43,125,000.00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1" w:name="TotalFeeAmt"/>
            <w:bookmarkEnd w:id="41"/>
            <w:r>
              <w:rPr/>
              <w:t xml:space="preserve">$ 5,955.57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TotalPreviouslyPaidAmt"/>
            <w:bookmarkEnd w:id="4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3" w:name="TotalOffsetAmt"/>
            <w:bookmarkEnd w:id="4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4" w:name="NetFeeAmt"/>
            <w:bookmarkEnd w:id="44"/>
            <w:r>
              <w:rPr/>
              <w:t xml:space="preserve">$ 5,955.57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Note 1a: In accordance with Rule 416(a), the Registrant is also registering an indeterminate number of additional shares of Common Stock that shall be issuable pursuant to Rule 416 to prevent dilution resulting from share splits, share dividends or similar transactions. Note 1b: The Proposed Maximum Aggregate Offering Price of the Common Stock offered hereby (including the shoe) is based on an assumed public offering price of $0.7151 per share, which is equal to the closing price per share of the Registrant's Common Stock on the NYSE American on July 2, 2026. Includes shares of Common Stock issuable upon the Representative's exercise in full of the over-allotment option. Estimated solely for the purpose of calculating the registration fee pursuant to Rule 457(o).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See Offering Note 1a. The Proposed Maximum Aggregate Offering Price of the Common Stock proposed to be sold in the offering will be reduced on a dollar-for-dollar basis based on the offering price of any Pre-Funded Warrants offered and sold in the offering. Accordingly, no separate registration fee is payable with respect to the Pre-Funded Warrants (or the shares of Common Stock issuable upon exercise thereof) pursuant to Rule 457(g).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3" w:type="dxa"/>
            <w:gridSpan w:val="2"/>
            <w:tcBorders/>
            <w:vAlign w:val="center"/>
          </w:tcPr>
          <w:p>
            <w:pPr>
              <w:pStyle w:val="TableContents"/>
              <w:bidi w:val="0"/>
              <w:spacing w:before="0" w:after="283"/>
              <w:jc w:val="left"/>
              <w:rPr/>
            </w:pPr>
            <w:r>
              <w:rPr/>
              <w:t xml:space="preserve">See Offering Note 2.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3" w:type="dxa"/>
            <w:gridSpan w:val="2"/>
            <w:tcBorders/>
            <w:vAlign w:val="center"/>
          </w:tcPr>
          <w:p>
            <w:pPr>
              <w:pStyle w:val="TableContents"/>
              <w:bidi w:val="0"/>
              <w:spacing w:before="0" w:after="283"/>
              <w:jc w:val="left"/>
              <w:rPr/>
            </w:pPr>
            <w:r>
              <w:rPr/>
              <w:t xml:space="preserve">See Offering Note 1a. No separate registration fee is payable with respect to the Two-Year Milestone Warrants or the Five-Year Milestone Warrants (or the Pre-Funded Warrants issuable upon exercise thereof) pursuant to Rule 457(g). The Proposed Maximum Aggregate Offering Price of the Common Stock underlying the Milestone Warrants is calculated based on the assumed exercise price of $0.7151 per share of Common Stock. Includes shares of Common Stock issuable upon the Representative's exercise in full of the over-allotment option.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3" w:type="dxa"/>
            <w:gridSpan w:val="2"/>
            <w:tcBorders/>
            <w:vAlign w:val="center"/>
          </w:tcPr>
          <w:p>
            <w:pPr>
              <w:pStyle w:val="TableContents"/>
              <w:bidi w:val="0"/>
              <w:spacing w:before="0" w:after="283"/>
              <w:jc w:val="left"/>
              <w:rPr/>
            </w:pPr>
            <w:r>
              <w:rPr/>
              <w:t xml:space="preserve">See Offering Note 4.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3" w:type="dxa"/>
            <w:gridSpan w:val="2"/>
            <w:tcBorders/>
            <w:vAlign w:val="center"/>
          </w:tcPr>
          <w:p>
            <w:pPr>
              <w:pStyle w:val="TableContents"/>
              <w:bidi w:val="0"/>
              <w:spacing w:before="0" w:after="283"/>
              <w:jc w:val="left"/>
              <w:rPr/>
            </w:pPr>
            <w:r>
              <w:rPr/>
              <w:t xml:space="preserve">See Offering Note 4.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3" w:type="dxa"/>
            <w:gridSpan w:val="2"/>
            <w:tcBorders/>
            <w:vAlign w:val="center"/>
          </w:tcPr>
          <w:p>
            <w:pPr>
              <w:pStyle w:val="TableContents"/>
              <w:bidi w:val="0"/>
              <w:spacing w:before="0" w:after="283"/>
              <w:jc w:val="left"/>
              <w:rPr/>
            </w:pPr>
            <w:r>
              <w:rPr/>
              <w:t xml:space="preserve">See Offering Note 4.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37607/000183760726000019/aeon-20251231x10k.htm" TargetMode="External"/><Relationship Id="rId4" Type="http://schemas.openxmlformats.org/officeDocument/2006/relationships/hyperlink" Target="https://www.sec.gov/ix?doc=/Archives/edgar/data/1837607/000183760726000019/aeon-20251231x10k.htm" TargetMode="External"/><Relationship Id="rId5" Type="http://schemas.openxmlformats.org/officeDocument/2006/relationships/hyperlink" Target="https://www.sec.gov/ix?doc=/Archives/edgar/data/1837607/000183760726000019/aeon-20251231x10k.htm" TargetMode="External"/><Relationship Id="rId6" Type="http://schemas.openxmlformats.org/officeDocument/2006/relationships/hyperlink" Target="https://www.sec.gov/ix?doc=/Archives/edgar/data/1837607/000183760726000042/aeon-20260331x10q.htm" TargetMode="External"/><Relationship Id="rId7" Type="http://schemas.openxmlformats.org/officeDocument/2006/relationships/hyperlink" Target="https://www.sec.gov/ix?doc=/Archives/edgar/data/1837607/000183760726000005/aeon-20260121x8k.htm" TargetMode="External"/><Relationship Id="rId8" Type="http://schemas.openxmlformats.org/officeDocument/2006/relationships/hyperlink" Target="https://www.sec.gov/ix?doc=/Archives/edgar/data/1837607/000183760726000009/aeon-20260306x8k.htm" TargetMode="External"/><Relationship Id="rId9" Type="http://schemas.openxmlformats.org/officeDocument/2006/relationships/hyperlink" Target="https://www.sec.gov/ix?doc=/Archives/edgar/data/1837607/000183760726000025/aeon-20260331x8k.htm" TargetMode="External"/><Relationship Id="rId10" Type="http://schemas.openxmlformats.org/officeDocument/2006/relationships/hyperlink" Target="https://www.sec.gov/ix?doc=/Archives/edgar/data/1837607/000183760726000041/aeon-20260514x8k.htm" TargetMode="External"/><Relationship Id="rId11" Type="http://schemas.openxmlformats.org/officeDocument/2006/relationships/hyperlink" Target="https://www.sec.gov/ix?doc=/Archives/edgar/data/1837607/000183760726000041/aeon-20260514x8k.htm" TargetMode="External"/><Relationship Id="rId12" Type="http://schemas.openxmlformats.org/officeDocument/2006/relationships/hyperlink" Target="https://www.sec.gov/ix?doc=/Archives/edgar/data/1837607/000183760726000046/aeon-20260617x8k.htm" TargetMode="External"/><Relationship Id="rId13" Type="http://schemas.openxmlformats.org/officeDocument/2006/relationships/hyperlink" Target="https://www.sec.gov/ix?doc=/Archives/edgar/data/1837607/000183760726000033/aeon-20260429xdef14a.htm" TargetMode="External"/><Relationship Id="rId14" Type="http://schemas.openxmlformats.org/officeDocument/2006/relationships/hyperlink" Target="https://www.sec.gov/Archives/edgar/data/1837607/000110465924088355/tm2421402d1_ex4-5.htm" TargetMode="External"/><Relationship Id="rId15" Type="http://schemas.openxmlformats.org/officeDocument/2006/relationships/hyperlink" Target="https://www.sec.gov/Archives/edgar/data/1837607/000110465921013444/tm2039147d10_8a12b.htm" TargetMode="External"/><Relationship Id="rId16" Type="http://schemas.openxmlformats.org/officeDocument/2006/relationships/hyperlink" Target="https://www.sec.gov/Archives/edgar/data/1837607/000110465923082985/tm2321617d1_8a12b.htm" TargetMode="External"/><Relationship Id="rId17" Type="http://schemas.openxmlformats.org/officeDocument/2006/relationships/image" Target="media/image1.jpeg"/><Relationship Id="rId18" Type="http://schemas.openxmlformats.org/officeDocument/2006/relationships/hyperlink" Target="https://www.sec.gov/Archives/edgar/data/1837607/000110465922126489/tm2232428d1_ex2-1.htm" TargetMode="External"/><Relationship Id="rId19" Type="http://schemas.openxmlformats.org/officeDocument/2006/relationships/hyperlink" Target="https://www.sec.gov/Archives/edgar/data/1837607/000110465923053387/tm2314221d1_ex2-1.htm" TargetMode="External"/><Relationship Id="rId20" Type="http://schemas.openxmlformats.org/officeDocument/2006/relationships/hyperlink" Target="https://www.sec.gov/Archives/edgar/data/1837607/000110465923084851/tm2314948d1_ex3-1.htm" TargetMode="External"/><Relationship Id="rId21" Type="http://schemas.openxmlformats.org/officeDocument/2006/relationships/hyperlink" Target="https://www.sec.gov/Archives/edgar/data/1837607/000183760725000013/aeon-20250224xex3d1.htm" TargetMode="External"/><Relationship Id="rId22" Type="http://schemas.openxmlformats.org/officeDocument/2006/relationships/hyperlink" Target="https://www.sec.gov/Archives/edgar/data/1837607/000110465923084851/tm2314948d1_ex3-2.htm" TargetMode="External"/><Relationship Id="rId23" Type="http://schemas.openxmlformats.org/officeDocument/2006/relationships/hyperlink" Target="https://www.sec.gov/Archives/edgar/data/1837607/000110465924130805/tm2431750d1_ex3-1.htm" TargetMode="External"/><Relationship Id="rId24" Type="http://schemas.openxmlformats.org/officeDocument/2006/relationships/hyperlink" Target="https://www.sec.gov/Archives/edgar/data/1837607/000110465921021987/tm2039147d12_ex4-1.htm" TargetMode="External"/><Relationship Id="rId25" Type="http://schemas.openxmlformats.org/officeDocument/2006/relationships/hyperlink" Target="https://www.sec.gov/Archives/edgar/data/1837607/000110465921021987/tm2039147d12_ex4-1.htm" TargetMode="External"/><Relationship Id="rId26" Type="http://schemas.openxmlformats.org/officeDocument/2006/relationships/hyperlink" Target="https://www.sec.gov/Archives/edgar/data/1837607/000110465924088355/tm2421402d1_ex4-5.htm" TargetMode="External"/><Relationship Id="rId27" Type="http://schemas.openxmlformats.org/officeDocument/2006/relationships/hyperlink" Target="https://www.sec.gov/Archives/edgar/data/1837607/000110465925001665/tm2432042d4_ex4-1.htm" TargetMode="External"/><Relationship Id="rId28" Type="http://schemas.openxmlformats.org/officeDocument/2006/relationships/hyperlink" Target="https://www.sec.gov/Archives/edgar/data/1837607/000110465925001665/tm2432042d4_ex4-2.htm" TargetMode="External"/><Relationship Id="rId29" Type="http://schemas.openxmlformats.org/officeDocument/2006/relationships/hyperlink" Target="https://www.sec.gov/Archives/edgar/data/1837607/000183760725000072/aeon-20251112xex4d1.htm" TargetMode="External"/><Relationship Id="rId30" Type="http://schemas.openxmlformats.org/officeDocument/2006/relationships/hyperlink" Target="https://www.sec.gov/Archives/edgar/data/1837607/000183760725000072/aeon-20251112xex4d2.htm" TargetMode="External"/><Relationship Id="rId31" Type="http://schemas.openxmlformats.org/officeDocument/2006/relationships/hyperlink" Target="https://www.sec.gov/Archives/edgar/data/1837607/000183760725000072/aeon-20251112xex4d3.htm" TargetMode="External"/><Relationship Id="rId32" Type="http://schemas.openxmlformats.org/officeDocument/2006/relationships/hyperlink" Target="https://www.sec.gov/Archives/edgar/data/1837607/000183760725000092/aeon-20251215xex4d1.htm" TargetMode="External"/><Relationship Id="rId33" Type="http://schemas.openxmlformats.org/officeDocument/2006/relationships/hyperlink" Target="https://www.sec.gov/Archives/edgar/data/1837607/000183760725000092/aeon-20251215xex4d2.htm" TargetMode="External"/><Relationship Id="rId34" Type="http://schemas.openxmlformats.org/officeDocument/2006/relationships/hyperlink" Target="https://www.sec.gov/Archives/edgar/data/1837607/000183760725000092/aeon-20251215xex4d3.htm" TargetMode="External"/><Relationship Id="rId35" Type="http://schemas.openxmlformats.org/officeDocument/2006/relationships/hyperlink" Target="https://www.sec.gov/Archives/edgar/data/1837607/000110465923084851/tm2314948d1_ex10-1.htm" TargetMode="External"/><Relationship Id="rId36" Type="http://schemas.openxmlformats.org/officeDocument/2006/relationships/hyperlink" Target="https://www.sec.gov/Archives/edgar/data/1837607/000110465923084851/tm2314948d1_ex10-2.htm" TargetMode="External"/><Relationship Id="rId37" Type="http://schemas.openxmlformats.org/officeDocument/2006/relationships/hyperlink" Target="https://www.sec.gov/Archives/edgar/data/1837607/000110465923084851/tm2314948d1_ex10-3.htm" TargetMode="External"/><Relationship Id="rId38" Type="http://schemas.openxmlformats.org/officeDocument/2006/relationships/hyperlink" Target="https://www.sec.gov/Archives/edgar/data/1837607/000110465923084851/tm2314948d1_ex10-4.htm" TargetMode="External"/><Relationship Id="rId39" Type="http://schemas.openxmlformats.org/officeDocument/2006/relationships/hyperlink" Target="https://www.sec.gov/Archives/edgar/data/1837607/000110465924042136/aeon-20230930xex10d9.htm" TargetMode="External"/><Relationship Id="rId40" Type="http://schemas.openxmlformats.org/officeDocument/2006/relationships/hyperlink" Target="https://www.sec.gov/Archives/edgar/data/1837607/000110465923084851/tm2314948d1_ex10-6.htm" TargetMode="External"/><Relationship Id="rId41" Type="http://schemas.openxmlformats.org/officeDocument/2006/relationships/hyperlink" Target="https://www.sec.gov/Archives/edgar/data/1837607/000110465923084851/tm2314948d1_ex10-11.htm" TargetMode="External"/><Relationship Id="rId42" Type="http://schemas.openxmlformats.org/officeDocument/2006/relationships/hyperlink" Target="https://www.sec.gov/Archives/edgar/data/1837607/000110465923084851/tm2314948d1_ex10-12.htm" TargetMode="External"/><Relationship Id="rId43" Type="http://schemas.openxmlformats.org/officeDocument/2006/relationships/hyperlink" Target="https://www.sec.gov/Archives/edgar/data/1837607/000110465923084851/tm2314948d1_ex10-13.htm" TargetMode="External"/><Relationship Id="rId44" Type="http://schemas.openxmlformats.org/officeDocument/2006/relationships/hyperlink" Target="https://www.sec.gov/Archives/edgar/data/1837607/000183760724000015/aeon-20231231xex10d11.htm" TargetMode="External"/><Relationship Id="rId45" Type="http://schemas.openxmlformats.org/officeDocument/2006/relationships/hyperlink" Target="https://www.sec.gov/Archives/edgar/data/1837607/000110465923084851/tm2314948d1_ex10-20.htm" TargetMode="External"/><Relationship Id="rId46" Type="http://schemas.openxmlformats.org/officeDocument/2006/relationships/hyperlink" Target="https://www.sec.gov/Archives/edgar/data/1837607/000183760724000006/aeon-20240318xex10d5.htm" TargetMode="External"/><Relationship Id="rId47" Type="http://schemas.openxmlformats.org/officeDocument/2006/relationships/hyperlink" Target="https://www.sec.gov/Archives/edgar/data/1837607/000183760724000006/aeon-20240318xex10d6.htm" TargetMode="External"/><Relationship Id="rId48" Type="http://schemas.openxmlformats.org/officeDocument/2006/relationships/hyperlink" Target="https://www.sec.gov/Archives/edgar/data/1837607/000183760724000006/aeon-20240318xex10d1.htm" TargetMode="External"/><Relationship Id="rId49" Type="http://schemas.openxmlformats.org/officeDocument/2006/relationships/hyperlink" Target="https://www.sec.gov/Archives/edgar/data/1837607/000183760724000006/aeon-20240318xex10d2.htm" TargetMode="External"/><Relationship Id="rId50" Type="http://schemas.openxmlformats.org/officeDocument/2006/relationships/hyperlink" Target="https://www.sec.gov/Archives/edgar/data/1837607/000183760724000006/aeon-20240318xex10d3.htm" TargetMode="External"/><Relationship Id="rId51" Type="http://schemas.openxmlformats.org/officeDocument/2006/relationships/hyperlink" Target="https://www.sec.gov/Archives/edgar/data/1837607/000110465922129955/pmgmu-20220930xex10d15.htm" TargetMode="External"/><Relationship Id="rId52" Type="http://schemas.openxmlformats.org/officeDocument/2006/relationships/hyperlink" Target="https://www.sec.gov/Archives/edgar/data/1837607/000110465922129955/pmgmu-20220930xex10d15a.htm" TargetMode="External"/><Relationship Id="rId53" Type="http://schemas.openxmlformats.org/officeDocument/2006/relationships/hyperlink" Target="https://www.sec.gov/Archives/edgar/data/1837607/000110465924042136/aeon-20230930xex10d17b.htm" TargetMode="External"/><Relationship Id="rId54" Type="http://schemas.openxmlformats.org/officeDocument/2006/relationships/hyperlink" Target="https://www.sec.gov/Archives/edgar/data/1837607/000110465924042136/aeon-20230930xex10d17c.htm" TargetMode="External"/><Relationship Id="rId55" Type="http://schemas.openxmlformats.org/officeDocument/2006/relationships/hyperlink" Target="https://www.sec.gov/Archives/edgar/data/1837607/000183760724000006/aeon-20240318xex10d4.htm" TargetMode="External"/><Relationship Id="rId56" Type="http://schemas.openxmlformats.org/officeDocument/2006/relationships/hyperlink" Target="https://www.sec.gov/Archives/edgar/data/1837607/000110465922129955/pmgmu-20220930xex10d16.htm" TargetMode="External"/><Relationship Id="rId57" Type="http://schemas.openxmlformats.org/officeDocument/2006/relationships/hyperlink" Target="https://www.sec.gov/Archives/edgar/data/1837607/000110465922129955/pmgmu-20220930xex16d16a.htm" TargetMode="External"/><Relationship Id="rId58" Type="http://schemas.openxmlformats.org/officeDocument/2006/relationships/hyperlink" Target="https://www.sec.gov/Archives/edgar/data/1837607/000110465923120845/aeon-20230930xex10d18.htm" TargetMode="External"/><Relationship Id="rId59" Type="http://schemas.openxmlformats.org/officeDocument/2006/relationships/hyperlink" Target="https://www.sec.gov/Archives/edgar/data/1837607/000110465923053372/pmgmu-20221231xex10d17.htm" TargetMode="External"/><Relationship Id="rId60" Type="http://schemas.openxmlformats.org/officeDocument/2006/relationships/hyperlink" Target="https://www.sec.gov/Archives/edgar/data/1837607/000110465924089800/tm2421544d2_ex1-2.htm" TargetMode="External"/><Relationship Id="rId61" Type="http://schemas.openxmlformats.org/officeDocument/2006/relationships/hyperlink" Target="https://www.sec.gov/Archives/edgar/data/1837607/000110465925001665/tm2432042d4_ex10-1.htm" TargetMode="External"/><Relationship Id="rId62" Type="http://schemas.openxmlformats.org/officeDocument/2006/relationships/hyperlink" Target="https://www.sec.gov/Archives/edgar/data/1837607/000183760725000030/aeon-20250419xex10.htm" TargetMode="External"/><Relationship Id="rId63" Type="http://schemas.openxmlformats.org/officeDocument/2006/relationships/hyperlink" Target="https://www.sec.gov/Archives/edgar/data/1837607/000183760725000052/aeon-20231109xex99d1.htm" TargetMode="External"/><Relationship Id="rId64" Type="http://schemas.openxmlformats.org/officeDocument/2006/relationships/hyperlink" Target="https://www.sec.gov/Archives/edgar/data/1837607/000183760725000072/aeon-20251112xex10d1.htm" TargetMode="External"/><Relationship Id="rId65" Type="http://schemas.openxmlformats.org/officeDocument/2006/relationships/hyperlink" Target="https://www.sec.gov/Archives/edgar/data/1837607/000183760725000072/aeon-20251112xex10d2.htm" TargetMode="External"/><Relationship Id="rId66" Type="http://schemas.openxmlformats.org/officeDocument/2006/relationships/hyperlink" Target="https://www.sec.gov/Archives/edgar/data/1837607/000183760725000085/aeon-20250930xex10d1.htm" TargetMode="External"/><Relationship Id="rId67" Type="http://schemas.openxmlformats.org/officeDocument/2006/relationships/hyperlink" Target="https://www.sec.gov/Archives/edgar/data/1837607/000183760725000085/aeon-20250930xex10d2.htm" TargetMode="External"/><Relationship Id="rId68" Type="http://schemas.openxmlformats.org/officeDocument/2006/relationships/hyperlink" Target="https://www.sec.gov/Archives/edgar/data/1837607/000183760725000092/aeon-20251215xex10d1.htm" TargetMode="External"/><Relationship Id="rId69" Type="http://schemas.openxmlformats.org/officeDocument/2006/relationships/hyperlink" Target="https://www.sec.gov/Archives/edgar/data/1837607/000183760726000005/aeon-20260121xex10d1.htm" TargetMode="External"/><Relationship Id="rId70" Type="http://schemas.openxmlformats.org/officeDocument/2006/relationships/hyperlink" Target="https://www.sec.gov/Archives/edgar/data/1837607/000110465923053372/pmgmu-20221231xex10d6.htm" TargetMode="External"/><Relationship Id="rId71" Type="http://schemas.openxmlformats.org/officeDocument/2006/relationships/hyperlink" Target="https://www.sec.gov/Archives/edgar/data/1837607/000110465923053372/pmgmu-20221231xex10d7.htm" TargetMode="External"/><Relationship Id="rId72" Type="http://schemas.openxmlformats.org/officeDocument/2006/relationships/hyperlink" Target="https://www.sec.gov/Archives/edgar/data/1837607/000183760726000005/aeon-20260121xex10d2.htm" TargetMode="External"/><Relationship Id="rId73" Type="http://schemas.openxmlformats.org/officeDocument/2006/relationships/hyperlink" Target="https://www.sec.gov/Archives/edgar/data/1837607/000183760726000009/aeon-20260306xex10d1.htm" TargetMode="External"/><Relationship Id="rId74" Type="http://schemas.openxmlformats.org/officeDocument/2006/relationships/hyperlink" Target="https://www.sec.gov/Archives/edgar/data/1837607/000183760726000009/aeon-20260306xex10d2.htm" TargetMode="External"/><Relationship Id="rId75" Type="http://schemas.openxmlformats.org/officeDocument/2006/relationships/hyperlink" Target="https://www.sec.gov/Archives/edgar/data/1837607/000110465923053372/pmgmu-20221231xex10d9.htm" TargetMode="External"/><Relationship Id="rId76" Type="http://schemas.openxmlformats.org/officeDocument/2006/relationships/image" Target="media/image2.jpeg"/><Relationship Id="rId77" Type="http://schemas.openxmlformats.org/officeDocument/2006/relationships/image" Target="media/image3.jpeg"/><Relationship Id="rId78" Type="http://schemas.openxmlformats.org/officeDocument/2006/relationships/image" Target="media/image4.jpeg"/><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93037</Words>
  <Characters>489484</Characters>
  <CharactersWithSpaces>586898</CharactersWithSpaces>
  <Paragraphs>4296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