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5250d9_s1mef.htm"/>
      <w:bookmarkStart w:id="1" w:name="kstm2615250d9_s1mef"/>
      <w:bookmarkEnd w:id="0"/>
      <w:bookmarkEnd w:id="1"/>
      <w:r>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As filed with the Securities and Exchange Commission on July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spacing w:before="24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AEON Biopharma,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885" w:type="dxa"/>
        <w:jc w:val="left"/>
        <w:tblInd w:w="0" w:type="dxa"/>
        <w:tblLayout w:type="fixed"/>
        <w:tblCellMar>
          <w:top w:w="0" w:type="dxa"/>
          <w:left w:w="0" w:type="dxa"/>
          <w:bottom w:w="0" w:type="dxa"/>
          <w:right w:w="0" w:type="dxa"/>
        </w:tblCellMar>
      </w:tblPr>
      <w:tblGrid>
        <w:gridCol w:w="2495"/>
        <w:gridCol w:w="60"/>
        <w:gridCol w:w="2375"/>
        <w:gridCol w:w="60"/>
        <w:gridCol w:w="1895"/>
      </w:tblGrid>
      <w:tr>
        <w:trPr/>
        <w:tc>
          <w:tcPr>
            <w:tcW w:w="2495" w:type="dxa"/>
            <w:tcBorders/>
            <w:vAlign w:val="center"/>
          </w:tcPr>
          <w:p>
            <w:pPr>
              <w:pStyle w:val="TableContents"/>
              <w:bidi w:val="0"/>
              <w:spacing w:before="0" w:after="283"/>
              <w:jc w:val="center"/>
              <w:rPr>
                <w:b/>
                <w:sz w:val="20"/>
              </w:rPr>
            </w:pPr>
            <w:r>
              <w:rPr>
                <w:b/>
                <w:sz w:val="20"/>
              </w:rPr>
              <w:t>Delaware</w:t>
            </w:r>
          </w:p>
        </w:tc>
        <w:tc>
          <w:tcPr>
            <w:tcW w:w="60" w:type="dxa"/>
            <w:tcBorders/>
            <w:vAlign w:val="center"/>
          </w:tcPr>
          <w:p>
            <w:pPr>
              <w:pStyle w:val="TableContents"/>
              <w:bidi w:val="0"/>
              <w:spacing w:before="0" w:after="283"/>
              <w:jc w:val="center"/>
              <w:rPr/>
            </w:pPr>
            <w:r>
              <w:rPr/>
              <w:t> </w:t>
            </w:r>
          </w:p>
        </w:tc>
        <w:tc>
          <w:tcPr>
            <w:tcW w:w="2375" w:type="dxa"/>
            <w:tcBorders/>
            <w:vAlign w:val="center"/>
          </w:tcPr>
          <w:p>
            <w:pPr>
              <w:pStyle w:val="TableContents"/>
              <w:bidi w:val="0"/>
              <w:spacing w:before="0" w:after="283"/>
              <w:jc w:val="center"/>
              <w:rPr>
                <w:b/>
                <w:sz w:val="20"/>
              </w:rPr>
            </w:pPr>
            <w:r>
              <w:rPr>
                <w:b/>
                <w:sz w:val="20"/>
              </w:rPr>
              <w:t>2834</w:t>
            </w:r>
          </w:p>
        </w:tc>
        <w:tc>
          <w:tcPr>
            <w:tcW w:w="60" w:type="dxa"/>
            <w:tcBorders/>
            <w:vAlign w:val="center"/>
          </w:tcPr>
          <w:p>
            <w:pPr>
              <w:pStyle w:val="TableContents"/>
              <w:bidi w:val="0"/>
              <w:spacing w:before="0" w:after="283"/>
              <w:jc w:val="center"/>
              <w:rPr/>
            </w:pPr>
            <w:r>
              <w:rPr/>
              <w:t> </w:t>
            </w:r>
          </w:p>
        </w:tc>
        <w:tc>
          <w:tcPr>
            <w:tcW w:w="1895" w:type="dxa"/>
            <w:tcBorders/>
            <w:vAlign w:val="center"/>
          </w:tcPr>
          <w:p>
            <w:pPr>
              <w:pStyle w:val="TableContents"/>
              <w:bidi w:val="0"/>
              <w:spacing w:before="0" w:after="283"/>
              <w:jc w:val="center"/>
              <w:rPr>
                <w:b/>
                <w:sz w:val="20"/>
              </w:rPr>
            </w:pPr>
            <w:r>
              <w:rPr>
                <w:b/>
                <w:sz w:val="20"/>
              </w:rPr>
              <w:t>85-3940478</w:t>
            </w:r>
          </w:p>
        </w:tc>
      </w:tr>
      <w:tr>
        <w:trPr/>
        <w:tc>
          <w:tcPr>
            <w:tcW w:w="24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vAlign w:val="center"/>
          </w:tcPr>
          <w:p>
            <w:pPr>
              <w:pStyle w:val="TableContents"/>
              <w:bidi w:val="0"/>
              <w:spacing w:before="0" w:after="283"/>
              <w:jc w:val="center"/>
              <w:rPr/>
            </w:pPr>
            <w:r>
              <w:rPr/>
              <w:t> </w:t>
            </w:r>
          </w:p>
        </w:tc>
        <w:tc>
          <w:tcPr>
            <w:tcW w:w="23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(Primary Standard Industrial</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Classification Code Number)</w:t>
            </w:r>
          </w:p>
        </w:tc>
        <w:tc>
          <w:tcPr>
            <w:tcW w:w="60" w:type="dxa"/>
            <w:tcBorders/>
            <w:vAlign w:val="center"/>
          </w:tcPr>
          <w:p>
            <w:pPr>
              <w:pStyle w:val="TableContents"/>
              <w:bidi w:val="0"/>
              <w:spacing w:before="0" w:after="283"/>
              <w:jc w:val="center"/>
              <w:rPr/>
            </w:pPr>
            <w:r>
              <w:rPr/>
              <w:t> </w:t>
            </w:r>
          </w:p>
        </w:tc>
        <w:tc>
          <w:tcPr>
            <w:tcW w:w="18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Park Plaza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1750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Irvine, CA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(949) 354-6499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Alex Wilson, Chief Legal &amp; Strategy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AEON Biopharma,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Park Plaza, Suite 1750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Irvine, California 92614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(949) 354-6499</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3470"/>
        <w:gridCol w:w="3140"/>
      </w:tblGrid>
      <w:tr>
        <w:trPr/>
        <w:tc>
          <w:tcPr>
            <w:tcW w:w="34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E. Danovitch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Angela Gomes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Sullivan &amp; Worcester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1251 Avenue of the Americas, 19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10020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660-3060</w:t>
            </w:r>
          </w:p>
        </w:tc>
        <w:tc>
          <w:tcPr>
            <w:tcW w:w="314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Jonathan R. Zimmerman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Tyler J. Vivian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Faegre Drinker Biddle &amp; Reath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2200 Wells Fargo Center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 South Seventh Street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Minneapolis, MN 55402-3901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(612) 766-7000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As soon as practicable after the effective date of this registration statement.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r>
        <w:rPr>
          <w:rFonts w:ascii="Times New Roman;Times;Serif" w:hAnsi="Times New Roman;Times;Serif"/>
          <w:b/>
          <w:i w:val="false"/>
          <w:caps w:val="false"/>
          <w:smallCaps w:val="false"/>
          <w:sz w:val="20"/>
        </w:rPr>
        <w:t>333-297327</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060"/>
        <w:gridCol w:w="60"/>
        <w:gridCol w:w="2465"/>
      </w:tblGrid>
      <w:tr>
        <w:trPr/>
        <w:tc>
          <w:tcPr>
            <w:tcW w:w="2060" w:type="dxa"/>
            <w:tcBorders/>
            <w:vAlign w:val="center"/>
          </w:tcPr>
          <w:p>
            <w:pPr>
              <w:pStyle w:val="TableContents"/>
              <w:bidi w:val="0"/>
              <w:spacing w:before="0" w:after="283"/>
              <w:jc w:val="left"/>
              <w:rPr>
                <w:sz w:val="20"/>
              </w:rPr>
            </w:pPr>
            <w:r>
              <w:rPr>
                <w:sz w:val="20"/>
              </w:rPr>
              <w:t>Large accelerated filer ☐</w:t>
            </w:r>
          </w:p>
        </w:tc>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sz w:val="20"/>
              </w:rPr>
            </w:pPr>
            <w:r>
              <w:rPr>
                <w:sz w:val="20"/>
              </w:rPr>
              <w:t>Accelerated filer ☐</w:t>
            </w:r>
          </w:p>
        </w:tc>
      </w:tr>
      <w:tr>
        <w:trPr/>
        <w:tc>
          <w:tcPr>
            <w:tcW w:w="2060" w:type="dxa"/>
            <w:tcBorders/>
            <w:vAlign w:val="center"/>
          </w:tcPr>
          <w:p>
            <w:pPr>
              <w:pStyle w:val="TableContents"/>
              <w:bidi w:val="0"/>
              <w:spacing w:before="0" w:after="283"/>
              <w:jc w:val="left"/>
              <w:rPr>
                <w:sz w:val="20"/>
              </w:rPr>
            </w:pPr>
            <w:r>
              <w:rPr>
                <w:sz w:val="20"/>
              </w:rPr>
              <w:t>Non-accelerated filer ☒</w:t>
            </w:r>
          </w:p>
        </w:tc>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sz w:val="20"/>
              </w:rPr>
            </w:pPr>
            <w:r>
              <w:rPr>
                <w:sz w:val="20"/>
              </w:rPr>
              <w:t>Smaller reporting company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sz w:val="20"/>
              </w:rPr>
            </w:pPr>
            <w:r>
              <w:rPr>
                <w:sz w:val="20"/>
              </w:rPr>
              <w:t>Emerging growth company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Registration Statement shall become effective upon filing with the Securities and Exchange Commission in accordance with Rule 462(b)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Registration Statement on Form S-1 (this “Registration Statement”) is being filed pursuant to Rule 462(b) under the Securities Act of 1933, as amended (the “Securities Act”). This Registration Statement relates to the public offering by AEON Biopharma, Inc. (the “Registrant”) of shares of common stock or pre-funded warrants in lieu thereof, with each share of common stock or pre-funded warrant accompanied by (i) one two-year milestone warrant to purchase one share of common stock or one pre-funded warrant in lieu thereof and (ii) one five-year milestone warrant to purchase one share of common stock or one pre-funded warrant in lieu thereof, contemplated by the Registration Statement on </w:t>
      </w:r>
      <w:hyperlink r:id="rId2">
        <w:r>
          <w:rPr>
            <w:rStyle w:val="InternetLink"/>
            <w:rFonts w:ascii="Times New Roman;Times;Serif" w:hAnsi="Times New Roman;Times;Serif"/>
            <w:b w:val="false"/>
            <w:i w:val="false"/>
            <w:caps w:val="false"/>
            <w:smallCaps w:val="false"/>
            <w:sz w:val="20"/>
          </w:rPr>
          <w:t>Form S-1, as amended (File No. 333-297327), initially filed by the Registrant with the Securities and Exchange Commission on July 8, 2026</w:t>
        </w:r>
      </w:hyperlink>
      <w:r>
        <w:rPr>
          <w:rFonts w:ascii="Times New Roman;Times;Serif" w:hAnsi="Times New Roman;Times;Serif"/>
          <w:b w:val="false"/>
          <w:i w:val="false"/>
          <w:caps w:val="false"/>
          <w:smallCaps w:val="false"/>
          <w:sz w:val="20"/>
        </w:rPr>
        <w:t xml:space="preserve"> and declared effective by the Securities and Exchange Commission on July 13, 2026 (the “Prior Registration Statement”) pursuant to the Securities Act. The contents of the Prior Registration Statement, including all amendments and exhibits thereto, are incorporated by reference into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filing this Registration Statement for the sole purpose of increasing the aggregate offering price of securities to be offered in the public offering by $4,528,125, which includes additional securities that the representative of the underwriters has the option to purchase. The additional securities that are being registered for issuance and sale are in an amount that represents no more than 20% of the maximum aggregate offering price set forth in Exhibit 107 to the Prior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725"/>
        <w:gridCol w:w="1040"/>
      </w:tblGrid>
      <w:tr>
        <w:trPr/>
        <w:tc>
          <w:tcPr>
            <w:tcW w:w="725" w:type="dxa"/>
            <w:tcBorders/>
            <w:vAlign w:val="center"/>
          </w:tcPr>
          <w:p>
            <w:pPr>
              <w:pStyle w:val="TableContents"/>
              <w:bidi w:val="0"/>
              <w:spacing w:before="0" w:after="283"/>
              <w:jc w:val="left"/>
              <w:rPr>
                <w:b/>
                <w:sz w:val="20"/>
              </w:rPr>
            </w:pPr>
            <w:r>
              <w:rPr>
                <w:b/>
                <w:sz w:val="20"/>
              </w:rPr>
              <w:t>Item 16.</w:t>
            </w:r>
          </w:p>
        </w:tc>
        <w:tc>
          <w:tcPr>
            <w:tcW w:w="1040" w:type="dxa"/>
            <w:tcBorders/>
            <w:vAlign w:val="center"/>
          </w:tcPr>
          <w:p>
            <w:pPr>
              <w:pStyle w:val="TableContents"/>
              <w:bidi w:val="0"/>
              <w:spacing w:before="0" w:after="283"/>
              <w:jc w:val="both"/>
              <w:rPr>
                <w:b/>
                <w:sz w:val="20"/>
              </w:rPr>
            </w:pPr>
            <w:r>
              <w:rPr>
                <w:b/>
                <w:sz w:val="20"/>
              </w:rPr>
              <w:t>Exhibit List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center"/>
              <w:rPr>
                <w:b/>
                <w:sz w:val="20"/>
              </w:rPr>
            </w:pPr>
            <w:r>
              <w:rPr>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9480"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15250d9_ex5-1.htm">
              <w:r>
                <w:rPr>
                  <w:rStyle w:val="InternetLink"/>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w:anchor="tm2615250d9_ex5-1.htm">
              <w:r>
                <w:rPr>
                  <w:rStyle w:val="InternetLink"/>
                  <w:sz w:val="20"/>
                </w:rPr>
                <w:t>Opinion of Sullivan &amp; Worcester LLP.</w:t>
              </w:r>
            </w:hyperlink>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15250d9_ex23-1.htm">
              <w:r>
                <w:rPr>
                  <w:rStyle w:val="InternetLink"/>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w:anchor="tm2615250d9_ex23-1.htm">
              <w:r>
                <w:rPr>
                  <w:rStyle w:val="InternetLink"/>
                  <w:sz w:val="20"/>
                </w:rPr>
                <w:t>Consent of KPMG LLP, independent registered public accounting firm</w:t>
              </w:r>
            </w:hyperlink>
            <w:hyperlink w:anchor="tm2615250d9_ex23-1.htm">
              <w:r>
                <w:rPr>
                  <w:rStyle w:val="InternetLink"/>
                </w:rPr>
                <w:t>.</w:t>
              </w:r>
            </w:hyperlink>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r>
              <w:rPr/>
              <w:t> </w:t>
            </w:r>
          </w:p>
        </w:tc>
      </w:tr>
      <w:tr>
        <w:trPr/>
        <w:tc>
          <w:tcPr>
            <w:tcW w:w="665" w:type="dxa"/>
            <w:tcBorders/>
            <w:tcMar>
              <w:bottom w:w="0" w:type="dxa"/>
            </w:tcMar>
            <w:vAlign w:val="center"/>
          </w:tcPr>
          <w:p>
            <w:pPr>
              <w:pStyle w:val="TableContents"/>
              <w:bidi w:val="0"/>
              <w:spacing w:before="0" w:after="283"/>
              <w:jc w:val="left"/>
              <w:rPr/>
            </w:pPr>
            <w:hyperlink w:anchor="tm2615250d9_ex5-1.htm">
              <w:r>
                <w:rPr>
                  <w:rStyle w:val="InternetLink"/>
                  <w:sz w:val="20"/>
                </w:rPr>
                <w:t>23.2</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w:anchor="tm2615250d9_ex5-1.htm">
              <w:r>
                <w:rPr>
                  <w:rStyle w:val="InternetLink"/>
                  <w:sz w:val="20"/>
                </w:rPr>
                <w:t>Consent of Sullivan &amp; Worcester LLP (included in Exhibit 5.1).</w:t>
              </w:r>
            </w:hyperlink>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r>
              <w:rPr/>
              <w:t> </w:t>
            </w:r>
          </w:p>
        </w:tc>
      </w:tr>
      <w:tr>
        <w:trPr/>
        <w:tc>
          <w:tcPr>
            <w:tcW w:w="665" w:type="dxa"/>
            <w:tcBorders/>
            <w:tcMar>
              <w:bottom w:w="0" w:type="dxa"/>
            </w:tcMar>
            <w:vAlign w:val="center"/>
          </w:tcPr>
          <w:p>
            <w:pPr>
              <w:pStyle w:val="TableContents"/>
              <w:bidi w:val="0"/>
              <w:spacing w:before="0" w:after="283"/>
              <w:jc w:val="left"/>
              <w:rPr/>
            </w:pPr>
            <w:r>
              <w:fldChar w:fldCharType="begin"/>
            </w:r>
            <w:r>
              <w:rPr>
                <w:rStyle w:val="InternetLink"/>
              </w:rPr>
              <w:instrText xml:space="preserve"> HYPERLINK "https://www.sec.gov/Archives/edgar/data/1837607/000110465926081860/tm2615250-3_s1.htm" \l "tPOA"</w:instrText>
            </w:r>
            <w:r>
              <w:rPr>
                <w:rStyle w:val="InternetLink"/>
              </w:rPr>
              <w:fldChar w:fldCharType="separate"/>
            </w:r>
            <w:r>
              <w:rPr>
                <w:rStyle w:val="InternetLink"/>
              </w:rPr>
              <w:t>24.1</w:t>
            </w:r>
            <w:r>
              <w:rPr>
                <w:rStyle w:val="InternetLink"/>
              </w:rPr>
              <w:fldChar w:fldCharType="end"/>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r>
              <w:fldChar w:fldCharType="begin"/>
            </w:r>
            <w:r>
              <w:rPr>
                <w:rStyle w:val="InternetLink"/>
                <w:sz w:val="20"/>
              </w:rPr>
              <w:instrText xml:space="preserve"> HYPERLINK "https://www.sec.gov/Archives/edgar/data/1837607/000110465926081860/tm2615250-3_s1.htm" \l "tPOA"</w:instrText>
            </w:r>
            <w:r>
              <w:rPr>
                <w:rStyle w:val="InternetLink"/>
                <w:sz w:val="20"/>
              </w:rPr>
              <w:fldChar w:fldCharType="separate"/>
            </w:r>
            <w:r>
              <w:rPr>
                <w:rStyle w:val="InternetLink"/>
                <w:sz w:val="20"/>
              </w:rPr>
              <w:t>Power of Attorney (filed as Exhibit 24.1 to the Registration Statement on Form S-1 filed by the Registrant on July 8, 2026 (File No. 333-297327) and incorporated herein by reference).</w:t>
            </w:r>
            <w:r>
              <w:rPr>
                <w:rStyle w:val="InternetLink"/>
                <w:sz w:val="20"/>
              </w:rPr>
              <w:fldChar w:fldCharType="end"/>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r>
              <w:rPr/>
              <w:t> </w:t>
            </w:r>
          </w:p>
        </w:tc>
      </w:tr>
      <w:tr>
        <w:trPr/>
        <w:tc>
          <w:tcPr>
            <w:tcW w:w="665" w:type="dxa"/>
            <w:tcBorders/>
            <w:tcMar>
              <w:bottom w:w="0" w:type="dxa"/>
            </w:tcMar>
            <w:vAlign w:val="center"/>
          </w:tcPr>
          <w:p>
            <w:pPr>
              <w:pStyle w:val="TableContents"/>
              <w:bidi w:val="0"/>
              <w:spacing w:before="0" w:after="283"/>
              <w:jc w:val="left"/>
              <w:rPr/>
            </w:pPr>
            <w:hyperlink w:anchor="tm2615250d9_ex-filingfees.htm">
              <w:r>
                <w:rPr>
                  <w:rStyle w:val="InternetLink"/>
                  <w:sz w:val="20"/>
                </w:rPr>
                <w:t>107</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15250d9_ex-filingfees.htm">
              <w:r>
                <w:rPr>
                  <w:rStyle w:val="InternetLink"/>
                  <w:sz w:val="20"/>
                </w:rPr>
                <w:t>Filing Fee Table.</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has duly caused this registration statement to be signed on its behalf by the undersigned, thereunto duly authorized, in the City of Irvine, State of California, on July 13, 2026.</w:t>
      </w:r>
    </w:p>
    <w:p>
      <w:pPr>
        <w:pStyle w:val="TextBody"/>
        <w:bidi w:val="0"/>
        <w:spacing w:before="0" w:after="0"/>
        <w:ind w:left="0" w:right="0" w:hanging="0"/>
        <w:jc w:val="center"/>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320"/>
        <w:gridCol w:w="3095"/>
      </w:tblGrid>
      <w:tr>
        <w:trPr/>
        <w:tc>
          <w:tcPr>
            <w:tcW w:w="75" w:type="dxa"/>
            <w:tcBorders/>
            <w:vAlign w:val="center"/>
          </w:tcPr>
          <w:p>
            <w:pPr>
              <w:pStyle w:val="TableContents"/>
              <w:bidi w:val="0"/>
              <w:spacing w:before="0" w:after="283"/>
              <w:jc w:val="left"/>
              <w:rPr/>
            </w:pPr>
            <w:r>
              <w:rPr/>
              <w:t> </w:t>
            </w:r>
          </w:p>
        </w:tc>
        <w:tc>
          <w:tcPr>
            <w:tcW w:w="3415" w:type="dxa"/>
            <w:gridSpan w:val="2"/>
            <w:tcBorders/>
            <w:vAlign w:val="center"/>
          </w:tcPr>
          <w:p>
            <w:pPr>
              <w:pStyle w:val="TableContents"/>
              <w:bidi w:val="0"/>
              <w:spacing w:before="0" w:after="283"/>
              <w:jc w:val="left"/>
              <w:rPr>
                <w:b/>
                <w:sz w:val="20"/>
              </w:rPr>
            </w:pPr>
            <w:r>
              <w:rPr>
                <w:b/>
                <w:sz w:val="20"/>
              </w:rPr>
              <w:t>AEON BIOPHARMA,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Robert Bancroft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Robert Bancroft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on Form S-1 has been signed by the following persons in the capacities and on the dates indicated.</w:t>
      </w:r>
    </w:p>
    <w:p>
      <w:pPr>
        <w:pStyle w:val="TextBody"/>
        <w:bidi w:val="0"/>
        <w:spacing w:before="0" w:after="0"/>
        <w:ind w:left="0" w:right="0" w:hanging="0"/>
        <w:jc w:val="both"/>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1595"/>
        <w:gridCol w:w="60"/>
        <w:gridCol w:w="3395"/>
        <w:gridCol w:w="60"/>
        <w:gridCol w:w="1145"/>
      </w:tblGrid>
      <w:tr>
        <w:trPr/>
        <w:tc>
          <w:tcPr>
            <w:tcW w:w="159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Signature</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Title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Date</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Robert Bancroft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President, Chief Executive Officer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July 13, 2026</w:t>
            </w:r>
          </w:p>
        </w:tc>
      </w:tr>
      <w:tr>
        <w:trPr/>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Bancroft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Executive Officer) and Director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1595" w:type="dxa"/>
            <w:tcBorders>
              <w:bottom w:val="single" w:sz="8" w:space="0" w:color="000000"/>
            </w:tcBorders>
            <w:tcMar>
              <w:bottom w:w="28" w:type="dxa"/>
            </w:tcMar>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Accounting Officer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July 13, 2026</w:t>
            </w:r>
          </w:p>
        </w:tc>
      </w:tr>
      <w:tr>
        <w:trPr/>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Jennifer Sy</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Accounting Officer)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1595" w:type="dxa"/>
            <w:tcBorders>
              <w:bottom w:val="single" w:sz="8" w:space="0" w:color="000000"/>
            </w:tcBorders>
            <w:tcMar>
              <w:bottom w:w="28" w:type="dxa"/>
            </w:tcMar>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July 13, 2026</w:t>
            </w:r>
          </w:p>
        </w:tc>
      </w:tr>
      <w:tr>
        <w:trPr/>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Bencich</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Financial Officer)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1595" w:type="dxa"/>
            <w:tcBorders>
              <w:bottom w:val="single" w:sz="8" w:space="0" w:color="000000"/>
            </w:tcBorders>
            <w:tcMar>
              <w:bottom w:w="28" w:type="dxa"/>
            </w:tcMar>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Chairman of the Board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July 13, 2026</w:t>
            </w:r>
          </w:p>
        </w:tc>
      </w:tr>
      <w:tr>
        <w:trPr/>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Jost Fischer</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1595" w:type="dxa"/>
            <w:tcBorders>
              <w:bottom w:val="single" w:sz="8" w:space="0" w:color="000000"/>
            </w:tcBorders>
            <w:tcMar>
              <w:bottom w:w="28" w:type="dxa"/>
            </w:tcMar>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July 13, 2026</w:t>
            </w:r>
          </w:p>
        </w:tc>
      </w:tr>
      <w:tr>
        <w:trPr/>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Palmisano</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r>
      <w:tr>
        <w:trPr/>
        <w:tc>
          <w:tcPr>
            <w:tcW w:w="1595" w:type="dxa"/>
            <w:tcBorders>
              <w:bottom w:val="single" w:sz="8" w:space="0" w:color="000000"/>
            </w:tcBorders>
            <w:tcMar>
              <w:bottom w:w="28" w:type="dxa"/>
            </w:tcMar>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July 13, 2026</w:t>
            </w:r>
          </w:p>
        </w:tc>
      </w:tr>
      <w:tr>
        <w:trPr/>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Shelley Thunen</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r>
      <w:tr>
        <w:trPr/>
        <w:tc>
          <w:tcPr>
            <w:tcW w:w="1595" w:type="dxa"/>
            <w:tcBorders>
              <w:bottom w:val="single" w:sz="8" w:space="0" w:color="000000"/>
            </w:tcBorders>
            <w:tcMar>
              <w:bottom w:w="28" w:type="dxa"/>
            </w:tcMar>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July 13, 2026</w:t>
            </w:r>
          </w:p>
        </w:tc>
      </w:tr>
      <w:tr>
        <w:trPr/>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Eric Carter</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r>
      <w:tr>
        <w:trPr/>
        <w:tc>
          <w:tcPr>
            <w:tcW w:w="1595" w:type="dxa"/>
            <w:tcBorders>
              <w:bottom w:val="single" w:sz="8" w:space="0" w:color="000000"/>
            </w:tcBorders>
            <w:tcMar>
              <w:bottom w:w="28" w:type="dxa"/>
            </w:tcMar>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July 13, 2026</w:t>
            </w:r>
          </w:p>
        </w:tc>
      </w:tr>
      <w:tr>
        <w:trPr/>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Seongsoo Park</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r>
      <w:tr>
        <w:trPr/>
        <w:tc>
          <w:tcPr>
            <w:tcW w:w="1595" w:type="dxa"/>
            <w:tcBorders>
              <w:bottom w:val="single" w:sz="8" w:space="0" w:color="000000"/>
            </w:tcBorders>
            <w:tcMar>
              <w:bottom w:w="28" w:type="dxa"/>
            </w:tcMar>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July 13, 2026</w:t>
            </w:r>
          </w:p>
        </w:tc>
      </w:tr>
      <w:tr>
        <w:trPr/>
        <w:tc>
          <w:tcPr>
            <w:tcW w:w="1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 Forth</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440"/>
        <w:gridCol w:w="1580"/>
        <w:gridCol w:w="75"/>
      </w:tblGrid>
      <w:tr>
        <w:trPr/>
        <w:tc>
          <w:tcPr>
            <w:tcW w:w="440" w:type="dxa"/>
            <w:tcBorders/>
            <w:vAlign w:val="center"/>
          </w:tcPr>
          <w:p>
            <w:pPr>
              <w:pStyle w:val="TableContents"/>
              <w:bidi w:val="0"/>
              <w:spacing w:before="0" w:after="283"/>
              <w:jc w:val="left"/>
              <w:rPr>
                <w:sz w:val="20"/>
              </w:rPr>
            </w:pPr>
            <w:r>
              <w:rPr>
                <w:sz w:val="20"/>
              </w:rPr>
              <w:t>*By:</w:t>
            </w:r>
          </w:p>
        </w:tc>
        <w:tc>
          <w:tcPr>
            <w:tcW w:w="1580"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Robert Bancroft</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sz w:val="20"/>
              </w:rPr>
            </w:pPr>
            <w:r>
              <w:rPr>
                <w:sz w:val="20"/>
              </w:rPr>
              <w:t>Robert Bancroft</w:t>
            </w:r>
          </w:p>
        </w:tc>
        <w:tc>
          <w:tcPr>
            <w:tcW w:w="75" w:type="dxa"/>
            <w:tcBorders/>
            <w:vAlign w:val="center"/>
          </w:tcPr>
          <w:p>
            <w:pPr>
              <w:pStyle w:val="TableContents"/>
              <w:bidi w:val="0"/>
              <w:spacing w:before="0" w:after="283"/>
              <w:jc w:val="left"/>
              <w:rPr/>
            </w:pPr>
            <w:r>
              <w:rPr/>
              <w:t> </w:t>
            </w:r>
          </w:p>
        </w:tc>
      </w:tr>
      <w:tr>
        <w:trPr/>
        <w:tc>
          <w:tcPr>
            <w:tcW w:w="44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sz w:val="20"/>
              </w:rPr>
            </w:pPr>
            <w:r>
              <w:rPr>
                <w:sz w:val="20"/>
              </w:rPr>
              <w:t>Attorney-in-fact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 w:name="tm2615250d9_ex5-1.htm"/>
      <w:bookmarkStart w:id="3" w:name="kstm2615250d9_ex5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5.1 </w:t>
      </w:r>
    </w:p>
    <w:p>
      <w:pPr>
        <w:pStyle w:val="TextBody"/>
        <w:bidi w:val="0"/>
        <w:spacing w:before="0" w:after="0"/>
        <w:ind w:left="0" w:right="0" w:hanging="0"/>
        <w:jc w:val="right"/>
        <w:rPr>
          <w:caps w:val="false"/>
          <w:smallCaps w:val="false"/>
        </w:rPr>
      </w:pPr>
      <w:r>
        <w:rPr>
          <w:caps w:val="false"/>
          <w:smallCaps w:val="false"/>
        </w:rPr>
        <w:t> </w:t>
      </w:r>
    </w:p>
    <w:tbl>
      <w:tblPr>
        <w:tblW w:w="7065" w:type="dxa"/>
        <w:jc w:val="left"/>
        <w:tblInd w:w="0" w:type="dxa"/>
        <w:tblLayout w:type="fixed"/>
        <w:tblCellMar>
          <w:top w:w="0" w:type="dxa"/>
          <w:left w:w="0" w:type="dxa"/>
          <w:bottom w:w="0" w:type="dxa"/>
          <w:right w:w="0" w:type="dxa"/>
        </w:tblCellMar>
      </w:tblPr>
      <w:tblGrid>
        <w:gridCol w:w="2775"/>
        <w:gridCol w:w="60"/>
        <w:gridCol w:w="2565"/>
        <w:gridCol w:w="60"/>
        <w:gridCol w:w="1605"/>
      </w:tblGrid>
      <w:tr>
        <w:trPr/>
        <w:tc>
          <w:tcPr>
            <w:tcW w:w="2775" w:type="dxa"/>
            <w:tcBorders/>
            <w:vAlign w:val="center"/>
          </w:tcPr>
          <w:p>
            <w:pPr>
              <w:pStyle w:val="TableContents"/>
              <w:bidi w:val="0"/>
              <w:spacing w:before="0" w:after="283"/>
              <w:jc w:val="left"/>
              <w:rPr/>
            </w:pPr>
            <w:r>
              <w:rPr/>
              <w:drawing>
                <wp:inline distT="0" distB="0" distL="0" distR="0">
                  <wp:extent cx="1752600"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1752600" cy="7810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2565" w:type="dxa"/>
            <w:tcBorders/>
            <w:vAlign w:val="center"/>
          </w:tcPr>
          <w:p>
            <w:pPr>
              <w:pStyle w:val="TableContents"/>
              <w:bidi w:val="0"/>
              <w:spacing w:before="0" w:after="283"/>
              <w:jc w:val="right"/>
              <w:rPr/>
            </w:pPr>
            <w:r>
              <w:rPr/>
              <w:drawing>
                <wp:inline distT="0" distB="0" distL="0" distR="0">
                  <wp:extent cx="1628775" cy="704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1628775" cy="7048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1605" w:type="dxa"/>
            <w:tcBorders/>
            <w:vAlign w:val="center"/>
          </w:tcPr>
          <w:p>
            <w:pPr>
              <w:pStyle w:val="TableContents"/>
              <w:bidi w:val="0"/>
              <w:spacing w:before="0" w:after="283"/>
              <w:jc w:val="right"/>
              <w:rPr/>
            </w:pPr>
            <w:r>
              <w:rPr/>
              <w:drawing>
                <wp:inline distT="0" distB="0" distL="0" distR="0">
                  <wp:extent cx="1009650" cy="685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1009650" cy="685800"/>
                          </a:xfrm>
                          <a:prstGeom prst="rect">
                            <a:avLst/>
                          </a:prstGeom>
                        </pic:spPr>
                      </pic:pic>
                    </a:graphicData>
                  </a:graphic>
                </wp:inline>
              </w:drawing>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13,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AEON Biopharma,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Park Plaza, Suite 1750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 92614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AEON Biopharma,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its Registration Statement on Form S-1, as amended, (File No. 333-297327) (the “</w:t>
      </w:r>
      <w:r>
        <w:rPr>
          <w:rFonts w:ascii="Times New Roman;Times;Serif" w:hAnsi="Times New Roman;Times;Serif"/>
          <w:b w:val="false"/>
          <w:i/>
          <w:caps w:val="false"/>
          <w:smallCaps w:val="false"/>
          <w:sz w:val="20"/>
        </w:rPr>
        <w:t xml:space="preserve">Initial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filed with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on July 8, 2026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and a registration statement filed pursuant to Rule 462(b) of the Securities Act (the “</w:t>
      </w:r>
      <w:r>
        <w:rPr>
          <w:rFonts w:ascii="Times New Roman;Times;Serif" w:hAnsi="Times New Roman;Times;Serif"/>
          <w:b/>
          <w:i/>
          <w:caps w:val="false"/>
          <w:smallCaps w:val="false"/>
          <w:sz w:val="20"/>
        </w:rPr>
        <w:t>462(b) Registration Statement</w:t>
      </w:r>
      <w:r>
        <w:rPr>
          <w:rFonts w:ascii="Times New Roman;Times;Serif" w:hAnsi="Times New Roman;Times;Serif"/>
          <w:b w:val="false"/>
          <w:i w:val="false"/>
          <w:caps w:val="false"/>
          <w:smallCaps w:val="false"/>
          <w:sz w:val="20"/>
        </w:rPr>
        <w:t>” and, together with the Initial Registration Statement, the “</w:t>
      </w:r>
      <w:r>
        <w:rPr>
          <w:rFonts w:ascii="Times New Roman;Times;Serif" w:hAnsi="Times New Roman;Times;Serif"/>
          <w:b/>
          <w:i/>
          <w:caps w:val="false"/>
          <w:smallCaps w:val="false"/>
          <w:sz w:val="20"/>
        </w:rPr>
        <w:t>Registration Statements</w:t>
      </w:r>
      <w:r>
        <w:rPr>
          <w:rFonts w:ascii="Times New Roman;Times;Serif" w:hAnsi="Times New Roman;Times;Serif"/>
          <w:b w:val="false"/>
          <w:i w:val="false"/>
          <w:caps w:val="false"/>
          <w:smallCaps w:val="false"/>
          <w:sz w:val="20"/>
        </w:rPr>
        <w:t>”) with respect to the registration of an additional $4,528,125 in securities (inclusive of $679,218.75 in respect of the over-allotment securities), consisting of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the Company’s common stock, par value $0.0001 per share (the “Common Stock”) or pre-funded warrants to purchase shares of Common Stock in lieu thereof (the “</w:t>
      </w:r>
      <w:r>
        <w:rPr>
          <w:rFonts w:ascii="Times New Roman;Times;Serif" w:hAnsi="Times New Roman;Times;Serif"/>
          <w:b/>
          <w:i/>
          <w:caps w:val="false"/>
          <w:smallCaps w:val="false"/>
          <w:sz w:val="20"/>
        </w:rPr>
        <w:t>Pre-Funded Warrants</w:t>
      </w:r>
      <w:r>
        <w:rPr>
          <w:rFonts w:ascii="Times New Roman;Times;Serif" w:hAnsi="Times New Roman;Times;Serif"/>
          <w:b w:val="false"/>
          <w:i w:val="false"/>
          <w:caps w:val="false"/>
          <w:smallCaps w:val="false"/>
          <w:sz w:val="20"/>
        </w:rPr>
        <w:t>”), accompanied with two-year milestone warrants to purchase shares of Common Stock or Pre-Funded Warrants in lieu thereof (the “</w:t>
      </w:r>
      <w:r>
        <w:rPr>
          <w:rFonts w:ascii="Times New Roman;Times;Serif" w:hAnsi="Times New Roman;Times;Serif"/>
          <w:b/>
          <w:i/>
          <w:caps w:val="false"/>
          <w:smallCaps w:val="false"/>
          <w:sz w:val="20"/>
        </w:rPr>
        <w:t>Two-Year Milestone Warrants</w:t>
      </w:r>
      <w:r>
        <w:rPr>
          <w:rFonts w:ascii="Times New Roman;Times;Serif" w:hAnsi="Times New Roman;Times;Serif"/>
          <w:b w:val="false"/>
          <w:i w:val="false"/>
          <w:caps w:val="false"/>
          <w:smallCaps w:val="false"/>
          <w:sz w:val="20"/>
        </w:rPr>
        <w:t>”) and (iii) five-year milestone warrants to purchase shares of Common Stock or Pre-Funded Warrants in lieu thereof (the “</w:t>
      </w:r>
      <w:r>
        <w:rPr>
          <w:rFonts w:ascii="Times New Roman;Times;Serif" w:hAnsi="Times New Roman;Times;Serif"/>
          <w:b/>
          <w:i/>
          <w:caps w:val="false"/>
          <w:smallCaps w:val="false"/>
          <w:sz w:val="20"/>
        </w:rPr>
        <w:t>Five-Year Milestone Warrants</w:t>
      </w:r>
      <w:r>
        <w:rPr>
          <w:rFonts w:ascii="Times New Roman;Times;Serif" w:hAnsi="Times New Roman;Times;Serif"/>
          <w:b w:val="false"/>
          <w:i w:val="false"/>
          <w:caps w:val="false"/>
          <w:smallCaps w:val="false"/>
          <w:sz w:val="20"/>
        </w:rPr>
        <w:t>”, together with the Two-Year Milestone Warrants, the “</w:t>
      </w:r>
      <w:r>
        <w:rPr>
          <w:rFonts w:ascii="Times New Roman;Times;Serif" w:hAnsi="Times New Roman;Times;Serif"/>
          <w:b/>
          <w:i/>
          <w:caps w:val="false"/>
          <w:smallCaps w:val="false"/>
          <w:sz w:val="20"/>
        </w:rPr>
        <w:t>Milestone Warrants</w:t>
      </w:r>
      <w:r>
        <w:rPr>
          <w:rFonts w:ascii="Times New Roman;Times;Serif" w:hAnsi="Times New Roman;Times;Serif"/>
          <w:b w:val="false"/>
          <w:i w:val="false"/>
          <w:caps w:val="false"/>
          <w:smallCaps w:val="false"/>
          <w:sz w:val="20"/>
        </w:rPr>
        <w:t>”). The 462(b) Registration Statement also covers the shares of Common Stock underlying the Pre-Funded Warrants, the Two-Year Milestone Warrants and the Five-Year Milestone Warrants (collectively, the “</w:t>
      </w:r>
      <w:r>
        <w:rPr>
          <w:rFonts w:ascii="Times New Roman;Times;Serif" w:hAnsi="Times New Roman;Times;Serif"/>
          <w:b/>
          <w:i/>
          <w:caps w:val="false"/>
          <w:smallCaps w:val="false"/>
          <w:sz w:val="20"/>
        </w:rPr>
        <w:t>Warrant Shares</w:t>
      </w:r>
      <w:r>
        <w:rPr>
          <w:rFonts w:ascii="Times New Roman;Times;Serif" w:hAnsi="Times New Roman;Times;Serif"/>
          <w:b w:val="false"/>
          <w:i w:val="false"/>
          <w:caps w:val="false"/>
          <w:smallCaps w:val="false"/>
          <w:sz w:val="20"/>
        </w:rPr>
        <w:t>”). The Shares, the Pre-Funded Warrants, the Milestone Warrants and the Warrant Shares are collectively referred to herein as the “</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The 462(b) Registration Statement incorporates by reference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will be offered and sold pursuant to the Registration Statements and an underwriting agreement (the “</w:t>
      </w:r>
      <w:r>
        <w:rPr>
          <w:rFonts w:ascii="Times New Roman;Times;Serif" w:hAnsi="Times New Roman;Times;Serif"/>
          <w:b/>
          <w:i/>
          <w:caps w:val="false"/>
          <w:smallCaps w:val="false"/>
          <w:sz w:val="20"/>
        </w:rPr>
        <w:t>Underwriting Agreement</w:t>
      </w:r>
      <w:r>
        <w:rPr>
          <w:rFonts w:ascii="Times New Roman;Times;Serif" w:hAnsi="Times New Roman;Times;Serif"/>
          <w:b w:val="false"/>
          <w:i w:val="false"/>
          <w:caps w:val="false"/>
          <w:smallCaps w:val="false"/>
          <w:sz w:val="20"/>
        </w:rPr>
        <w:t>”) to be entered into by and between the Company and Lake Street Capital Markets, LLC, as representative of the several underwriters named therein (the “</w:t>
      </w:r>
      <w:r>
        <w:rPr>
          <w:rFonts w:ascii="Times New Roman;Times;Serif" w:hAnsi="Times New Roman;Times;Serif"/>
          <w:b/>
          <w:i/>
          <w:caps w:val="false"/>
          <w:smallCaps w:val="false"/>
          <w:sz w:val="20"/>
        </w:rPr>
        <w:t>Representative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counsel to the Company in connection with the proposed issuance and sale of the Securities, we have examined: (i) the Company’s certificate of incorporation, as amended and restated, and bylaws, as amended and restated, each as currently in effect; (ii) certain resolutions of the Company’s board of directors relating to the issuance and sale of the Securities; (iii) the form of Underwriting Agreement; (iv) the form of Warrant Agency Agreement to be entered into between the Company and Continental Stock Transfer &amp; Trust Company, as warrant agent (in such capacity, the "Warrant Agent"); (v) the form of Two-Year Milestone Warrant; (vi) the form of Five-Year Milestone Warrant; (vii) the form of Pre-Funded Warrant; (viii) the Registration Statement and the 462(b) Registration Statement; and (ix) such other proceedings, documents, and records as we have deemed necessary to enable us to render this opinion. In all such examinations, we have assumed the genuineness of all signatures, the authenticity of all documents, certificates, and instruments submitted to us as originals, and the conformity with the originals of all documents, certificates, and instruments submitted to us as copies. We have also assumed the due execution and delivery of all documents where due execution and delivery are prerequisite to the effectiveness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set forth below with respect to the validity or binding effect of any security or obligation may be limited by (i) bankruptcy, insolvency, reorganization, fraudulent conveyance, marshaling, moratorium or other similar laws affecting the enforcement generally of the rights and remedies of creditors and secured parties or the obligations of debtors, (ii) general principles of equity (whether considered in a proceeding in equity or at law), including but not limited to principles limiting the availability of specific performance or injunctive relief, and concepts of materiality, reasonableness, good faith and fair dealing, (iii) the possible unenforceability under certain circumstances of provisions providing for indemnification, contribution, exculpation, release or waiver that may be contrary to public policy or violative of federal or state securities laws, rules or regulations, and (iv) the effect of course of dealing, course of performance, oral agreements or the like that would modify the terms of an agreement or the respective rights or obligations of the parties under 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subject to and limited by the foregoing, we are of the opinion that, following the (i) execution and delivery by the Company and the Representative of the Underwriting Agreement, (ii) execution and delivery by the Company and the Warrant Agent of the Warrant Agency Agreement, (iii) execution and delivery by the Company of the Pre-Funded Warrants, the Two-Year Milestone Warrants and the Five-Year Milestone Warrants, (iv) execution and delivery by the Warrant Agent of the Pre-Funded Warrants, the Two-Year Milestone Warrants and the Five-Year Milestone Warrants in accordance with the terms of the Warrant Agency Agreement, (v) effectiveness of the Registration Statements, (vi) issuance of the Securities pursuant to the terms of the Underwriting Agreement, and (vii) receipt by the Company of the applicable consideration for the Securities: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Securities have been duly authorized for issuance;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Shares, when issued, delivered and paid for in accordance with the terms of the Underwriting Agreement and in accordance with and in the manner described in the Registration Statement, will be validly issued, fully paid and nonassessable shares of Common Stock;</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of the Pre-Funded Warrants, the Two-Year Milestone Warrants and the Five-Year Milestone Warrants (collectively, the "Warrants"), when duly executed and delivered by the Company and the Warrant Agent in accordance with the terms of the Warrant Agency Agreement and delivered against payment therefor in accordance with the terms of the Underwriting Agreement and in accordance with and in the manner described in the Registration Statement, will constitute valid and binding obligations of the Company, enforceable against the Company in accordance with their terms; and</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Warrant Shares, when issued, delivered and paid for in accordance with the terms of the Milestone Warrants or the Pre-Funded Warrants, as applicable, will be validly issued, fully paid and non-assessable shares of Common Stock.</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that this opinion is to be used only in connection with the offer, sale, and issuance of the Securities while the Registration Statements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speaks only as of the date hereof and we assume no obligation to update or supplement this opinion if any applicable laws change after the date of this opinion or if we become aware after the date of this opinion of any facts, whether existing before or arising after the date hereof, that might change the opinions expressed above. This opinion is furnished in connection with the filing of the Registration Statement and may not be relied upon for any other purpose without our prior written consent in each instance. Further, no portion of this opinion may be quoted, circulated or referred to in any other document for any other purpose without our prior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with the SEC as Exhibit 5.1 to the 462(b) Registration Statement. In giving such consent, we do not thereby admit that we come within the category of persons whose consent is required under Section 7 of the Securities Act or the rules and regulations of the SEC promulgated thereunder. </w:t>
      </w:r>
    </w:p>
    <w:tbl>
      <w:tblPr>
        <w:tblW w:w="2480" w:type="dxa"/>
        <w:jc w:val="left"/>
        <w:tblInd w:w="0" w:type="dxa"/>
        <w:tblLayout w:type="fixed"/>
        <w:tblCellMar>
          <w:top w:w="0" w:type="dxa"/>
          <w:left w:w="0" w:type="dxa"/>
          <w:bottom w:w="0" w:type="dxa"/>
          <w:right w:w="0" w:type="dxa"/>
        </w:tblCellMar>
      </w:tblPr>
      <w:tblGrid>
        <w:gridCol w:w="2405"/>
        <w:gridCol w:w="75"/>
      </w:tblGrid>
      <w:tr>
        <w:trPr/>
        <w:tc>
          <w:tcPr>
            <w:tcW w:w="2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2405" w:type="dxa"/>
            <w:tcBorders/>
            <w:vAlign w:val="center"/>
          </w:tcPr>
          <w:p>
            <w:pPr>
              <w:pStyle w:val="TableContents"/>
              <w:bidi w:val="0"/>
              <w:spacing w:before="0" w:after="283"/>
              <w:jc w:val="left"/>
              <w:rPr>
                <w:sz w:val="20"/>
              </w:rPr>
            </w:pPr>
            <w:r>
              <w:rPr>
                <w:sz w:val="20"/>
              </w:rPr>
              <w:t>Very truly yours,</w:t>
            </w:r>
          </w:p>
        </w:tc>
        <w:tc>
          <w:tcPr>
            <w:tcW w:w="7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240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Sullivan &amp; Worcester LLP</w:t>
            </w:r>
          </w:p>
        </w:tc>
        <w:tc>
          <w:tcPr>
            <w:tcW w:w="75" w:type="dxa"/>
            <w:tcBorders/>
            <w:vAlign w:val="center"/>
          </w:tcPr>
          <w:p>
            <w:pPr>
              <w:pStyle w:val="TableContents"/>
              <w:bidi w:val="0"/>
              <w:spacing w:before="0" w:after="283"/>
              <w:ind w:left="0" w:right="0" w:hanging="200"/>
              <w:jc w:val="left"/>
              <w:rPr/>
            </w:pPr>
            <w:r>
              <w:rPr/>
              <w:t> </w:t>
            </w:r>
          </w:p>
        </w:tc>
      </w:tr>
      <w:tr>
        <w:trPr/>
        <w:tc>
          <w:tcPr>
            <w:tcW w:w="2405" w:type="dxa"/>
            <w:tcBorders/>
            <w:vAlign w:val="center"/>
          </w:tcPr>
          <w:p>
            <w:pPr>
              <w:pStyle w:val="TableContents"/>
              <w:bidi w:val="0"/>
              <w:spacing w:before="0" w:after="283"/>
              <w:jc w:val="left"/>
              <w:rPr>
                <w:sz w:val="20"/>
              </w:rPr>
            </w:pPr>
            <w:r>
              <w:rPr>
                <w:sz w:val="20"/>
              </w:rPr>
              <w:t>Sullivan &amp; Worcester LLP</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876550" cy="114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6"/>
                    <a:stretch>
                      <a:fillRect/>
                    </a:stretch>
                  </pic:blipFill>
                  <pic:spPr bwMode="auto">
                    <a:xfrm>
                      <a:off x="0" y="0"/>
                      <a:ext cx="2876550" cy="1143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bookmarkStart w:id="4" w:name="tm2615250d9_ex23-1.htm"/>
      <w:bookmarkStart w:id="5" w:name="kstm2615250d9_ex231"/>
      <w:bookmarkEnd w:id="4"/>
      <w:bookmarkEnd w:id="5"/>
      <w:r>
        <w:rPr/>
        <w:t> </w:t>
      </w:r>
      <w:r>
        <w:br w:type="page"/>
      </w:r>
    </w:p>
    <w:p>
      <w:pPr>
        <w:pStyle w:val="TextBody"/>
        <w:bidi w:val="0"/>
        <w:jc w:val="right"/>
        <w:rPr>
          <w:b/>
        </w:rPr>
      </w:pPr>
      <w:r>
        <w:rPr>
          <w:b/>
        </w:rPr>
        <w:t>Exhibit 23.1</w:t>
      </w:r>
    </w:p>
    <w:p>
      <w:pPr>
        <w:pStyle w:val="TextBody"/>
        <w:bidi w:val="0"/>
        <w:spacing w:before="0" w:after="283"/>
        <w:jc w:val="left"/>
        <w:rPr/>
      </w:pPr>
      <w:r>
        <w:rPr/>
        <w:t> </w:t>
      </w:r>
    </w:p>
    <w:tbl>
      <w:tblPr>
        <w:tblW w:w="4505" w:type="dxa"/>
        <w:jc w:val="left"/>
        <w:tblInd w:w="0" w:type="dxa"/>
        <w:tblLayout w:type="fixed"/>
        <w:tblCellMar>
          <w:top w:w="0" w:type="dxa"/>
          <w:left w:w="0" w:type="dxa"/>
          <w:bottom w:w="0" w:type="dxa"/>
          <w:right w:w="0" w:type="dxa"/>
        </w:tblCellMar>
      </w:tblPr>
      <w:tblGrid>
        <w:gridCol w:w="1425"/>
        <w:gridCol w:w="3080"/>
      </w:tblGrid>
      <w:tr>
        <w:trPr/>
        <w:tc>
          <w:tcPr>
            <w:tcW w:w="1425" w:type="dxa"/>
            <w:tcBorders/>
            <w:vAlign w:val="center"/>
          </w:tcPr>
          <w:p>
            <w:pPr>
              <w:pStyle w:val="TableContents"/>
              <w:bidi w:val="0"/>
              <w:spacing w:before="0" w:after="283"/>
              <w:jc w:val="left"/>
              <w:rPr/>
            </w:pPr>
            <w:r>
              <w:rPr/>
              <w:drawing>
                <wp:inline distT="0" distB="0" distL="0" distR="0">
                  <wp:extent cx="895350" cy="352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7"/>
                          <a:stretch>
                            <a:fillRect/>
                          </a:stretch>
                        </pic:blipFill>
                        <pic:spPr bwMode="auto">
                          <a:xfrm>
                            <a:off x="0" y="0"/>
                            <a:ext cx="895350" cy="352425"/>
                          </a:xfrm>
                          <a:prstGeom prst="rect">
                            <a:avLst/>
                          </a:prstGeom>
                        </pic:spPr>
                      </pic:pic>
                    </a:graphicData>
                  </a:graphic>
                </wp:inline>
              </w:drawing>
            </w:r>
          </w:p>
        </w:tc>
        <w:tc>
          <w:tcPr>
            <w:tcW w:w="3080" w:type="dxa"/>
            <w:tcBorders/>
            <w:vAlign w:val="center"/>
          </w:tcPr>
          <w:p>
            <w:pPr>
              <w:pStyle w:val="TableContents"/>
              <w:bidi w:val="0"/>
              <w:spacing w:before="0" w:after="283"/>
              <w:jc w:val="left"/>
              <w:rPr/>
            </w:pPr>
            <w:r>
              <w:rPr/>
              <w:t> </w:t>
            </w:r>
          </w:p>
        </w:tc>
      </w:tr>
      <w:tr>
        <w:trPr/>
        <w:tc>
          <w:tcPr>
            <w:tcW w:w="142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KPMG LLP Suite 1100</w:t>
              <w:br/>
              <w:t>4655 Executive Drive</w:t>
              <w:br/>
              <w:t>San Diego, CA 92121-3132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of our report dated March 30, 2026, with respect to the consolidated financial statements of AEON Biopharma, Inc., incorporated herein by reference, and to the reference to our firm under the heading "Experts" in the prospectus.</w:t>
      </w:r>
    </w:p>
    <w:p>
      <w:pPr>
        <w:pStyle w:val="TextBody"/>
        <w:bidi w:val="0"/>
        <w:spacing w:before="0" w:after="0"/>
        <w:ind w:left="0" w:right="0" w:hanging="0"/>
        <w:jc w:val="left"/>
        <w:rPr>
          <w:caps w:val="false"/>
          <w:smallCaps w:val="false"/>
        </w:rPr>
      </w:pPr>
      <w:r>
        <w:rPr>
          <w:caps w:val="false"/>
          <w:smallCaps w:val="false"/>
        </w:rPr>
        <w:t> </w:t>
      </w:r>
    </w:p>
    <w:tbl>
      <w:tblPr>
        <w:tblW w:w="1340" w:type="dxa"/>
        <w:jc w:val="left"/>
        <w:tblInd w:w="0" w:type="dxa"/>
        <w:tblLayout w:type="fixed"/>
        <w:tblCellMar>
          <w:top w:w="0" w:type="dxa"/>
          <w:left w:w="0" w:type="dxa"/>
          <w:bottom w:w="0" w:type="dxa"/>
          <w:right w:w="0" w:type="dxa"/>
        </w:tblCellMar>
      </w:tblPr>
      <w:tblGrid>
        <w:gridCol w:w="75"/>
        <w:gridCol w:w="1265"/>
      </w:tblGrid>
      <w:tr>
        <w:trPr/>
        <w:tc>
          <w:tcPr>
            <w:tcW w:w="7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LLP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California</w:t>
        <w:br/>
        <w:t>July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 w:name="tm2615250d9_ex-filingfees.htm"/>
      <w:bookmarkStart w:id="7" w:name="kstm2615250d9_exfilingfees"/>
      <w:bookmarkStart w:id="8" w:name="tm2615250d9_ex-filingfees.htm"/>
      <w:bookmarkStart w:id="9" w:name="kstm2615250d9_exfilingfees"/>
      <w:bookmarkEnd w:id="8"/>
      <w:bookmarkEnd w:id="9"/>
      <w:r>
        <w:br w:type="page"/>
      </w:r>
    </w:p>
    <w:tbl>
      <w:tblPr>
        <w:tblW w:w="3574" w:type="dxa"/>
        <w:jc w:val="left"/>
        <w:tblInd w:w="0" w:type="dxa"/>
        <w:tblLayout w:type="fixed"/>
        <w:tblCellMar>
          <w:top w:w="28" w:type="dxa"/>
          <w:left w:w="28" w:type="dxa"/>
          <w:bottom w:w="28" w:type="dxa"/>
          <w:right w:w="28" w:type="dxa"/>
        </w:tblCellMar>
      </w:tblPr>
      <w:tblGrid>
        <w:gridCol w:w="3420"/>
        <w:gridCol w:w="154"/>
      </w:tblGrid>
      <w:tr>
        <w:trPr/>
        <w:tc>
          <w:tcPr>
            <w:tcW w:w="357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0"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20" w:type="dxa"/>
            <w:tcBorders/>
            <w:vAlign w:val="center"/>
          </w:tcPr>
          <w:p>
            <w:pPr>
              <w:pStyle w:val="TableContents"/>
              <w:bidi w:val="0"/>
              <w:spacing w:before="0" w:after="283"/>
              <w:jc w:val="left"/>
              <w:rPr>
                <w:b/>
              </w:rPr>
            </w:pPr>
            <w:r>
              <w:rPr>
                <w:b/>
              </w:rPr>
              <w:t xml:space="preserve">AEON Biopharma,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39" w:type="dxa"/>
        <w:jc w:val="left"/>
        <w:tblInd w:w="0" w:type="dxa"/>
        <w:tblLayout w:type="fixed"/>
        <w:tblCellMar>
          <w:top w:w="28" w:type="dxa"/>
          <w:left w:w="28" w:type="dxa"/>
          <w:bottom w:w="28" w:type="dxa"/>
          <w:right w:w="28" w:type="dxa"/>
        </w:tblCellMar>
      </w:tblPr>
      <w:tblGrid>
        <w:gridCol w:w="1126"/>
        <w:gridCol w:w="226"/>
        <w:gridCol w:w="946"/>
        <w:gridCol w:w="1216"/>
        <w:gridCol w:w="1276"/>
        <w:gridCol w:w="1186"/>
        <w:gridCol w:w="1156"/>
        <w:gridCol w:w="154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4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3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Class A Common Stock, par value $0.0001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right"/>
              <w:rPr/>
            </w:pPr>
            <w:r>
              <w:rPr/>
              <w:t xml:space="preserve">$ 1,437,500.00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$ 198.52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Pre-Funded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Class A Common Stock underlying Pre-Funded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Two-Year Milestone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Class A Common Stock, par value $0.0001 per share, underlying Two-Year Milestone 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right"/>
              <w:rPr/>
            </w:pPr>
            <w:r>
              <w:rPr/>
              <w:t xml:space="preserve">$ 1,437,500.00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$ 198.52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Five-Year Milestone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7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Class A Common Stock, par value $0.0001 per share, underlying Five-Year Milestone 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right"/>
              <w:rPr/>
            </w:pPr>
            <w:r>
              <w:rPr/>
              <w:t xml:space="preserve">$ 1,653,125.00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$ 228.30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1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3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1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10" w:name="MaxAggtOfferingPrice"/>
            <w:bookmarkEnd w:id="10"/>
            <w:r>
              <w:rPr/>
              <w:t xml:space="preserve">$ 4,528,125.00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1" w:name="TotalFeeAmt"/>
            <w:bookmarkEnd w:id="11"/>
            <w:r>
              <w:rPr/>
              <w:t xml:space="preserve">$ 625.34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2" w:name="TotalPreviouslyPaidAmt"/>
            <w:bookmarkEnd w:id="1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3" w:name="TotalOffsetAmt"/>
            <w:bookmarkEnd w:id="1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14" w:name="NetFeeAmt"/>
            <w:bookmarkEnd w:id="14"/>
            <w:r>
              <w:rPr/>
              <w:t xml:space="preserve">$ 625.34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5"/>
        <w:gridCol w:w="1294"/>
        <w:gridCol w:w="8696"/>
      </w:tblGrid>
      <w:tr>
        <w:trPr/>
        <w:tc>
          <w:tcPr>
            <w:tcW w:w="215"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0" w:type="dxa"/>
            <w:gridSpan w:val="2"/>
            <w:tcBorders/>
            <w:vAlign w:val="center"/>
          </w:tcPr>
          <w:p>
            <w:pPr>
              <w:pStyle w:val="TableContents"/>
              <w:bidi w:val="0"/>
              <w:spacing w:before="0" w:after="283"/>
              <w:jc w:val="left"/>
              <w:rPr/>
            </w:pPr>
            <w:r>
              <w:rPr/>
              <w:t xml:space="preserve">Estimated solely for purposes of calculating the amount of the registration fee pursuant to Rule 457(o) under the Securities Act of 1933. Includes the offering price of the securities that the representative of the underwriters has the option to purchase to cover over-allotments, if any. </w:t>
            </w:r>
          </w:p>
        </w:tc>
      </w:tr>
      <w:tr>
        <w:trPr/>
        <w:tc>
          <w:tcPr>
            <w:tcW w:w="1509" w:type="dxa"/>
            <w:gridSpan w:val="2"/>
            <w:tcBorders/>
            <w:vAlign w:val="center"/>
          </w:tcPr>
          <w:p>
            <w:pPr>
              <w:pStyle w:val="HorizontalLine"/>
              <w:pBdr>
                <w:bottom w:val="double" w:sz="2" w:space="0" w:color="808080"/>
              </w:pBdr>
              <w:bidi w:val="0"/>
              <w:spacing w:before="0" w:after="283"/>
              <w:jc w:val="left"/>
              <w:rPr/>
            </w:pPr>
            <w:r>
              <w:rPr/>
            </w:r>
          </w:p>
        </w:tc>
        <w:tc>
          <w:tcPr>
            <w:tcW w:w="8696" w:type="dxa"/>
            <w:tcBorders/>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90" w:type="dxa"/>
            <w:gridSpan w:val="2"/>
            <w:tcBorders/>
            <w:vAlign w:val="center"/>
          </w:tcPr>
          <w:p>
            <w:pPr>
              <w:pStyle w:val="TableContents"/>
              <w:bidi w:val="0"/>
              <w:spacing w:before="0" w:after="283"/>
              <w:jc w:val="left"/>
              <w:rPr/>
            </w:pPr>
            <w:r>
              <w:rPr/>
              <w:t xml:space="preserve">In accordance with Rule 457(g) under the Securities Act, because the Class A common stock, par value $0.0001, of the Registrant (the "Common Stock") underlying the warrants are registered hereby, no separate registration fee is required with respect to the warrants registered hereby. </w:t>
            </w:r>
          </w:p>
        </w:tc>
      </w:tr>
      <w:tr>
        <w:trPr/>
        <w:tc>
          <w:tcPr>
            <w:tcW w:w="1509" w:type="dxa"/>
            <w:gridSpan w:val="2"/>
            <w:tcBorders/>
            <w:vAlign w:val="center"/>
          </w:tcPr>
          <w:p>
            <w:pPr>
              <w:pStyle w:val="HorizontalLine"/>
              <w:pBdr>
                <w:bottom w:val="double" w:sz="2" w:space="0" w:color="808080"/>
              </w:pBdr>
              <w:bidi w:val="0"/>
              <w:spacing w:before="0" w:after="283"/>
              <w:jc w:val="left"/>
              <w:rPr/>
            </w:pPr>
            <w:r>
              <w:rPr/>
            </w:r>
          </w:p>
        </w:tc>
        <w:tc>
          <w:tcPr>
            <w:tcW w:w="8696" w:type="dxa"/>
            <w:tcBorders/>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9990" w:type="dxa"/>
            <w:gridSpan w:val="2"/>
            <w:tcBorders/>
            <w:vAlign w:val="center"/>
          </w:tcPr>
          <w:p>
            <w:pPr>
              <w:pStyle w:val="TableContents"/>
              <w:bidi w:val="0"/>
              <w:spacing w:before="0" w:after="283"/>
              <w:jc w:val="left"/>
              <w:rPr/>
            </w:pPr>
            <w:r>
              <w:rPr/>
              <w:t xml:space="preserve">In accordance with Rule 457(g) under the Securities Act, because the Class A common stock, par value $0.0001, of the Registrant (the "Common Stock") underlying the warrants are registered hereby, no separate registration fee is required with respect to the warrants registered hereby. </w:t>
            </w:r>
          </w:p>
        </w:tc>
      </w:tr>
      <w:tr>
        <w:trPr/>
        <w:tc>
          <w:tcPr>
            <w:tcW w:w="1509" w:type="dxa"/>
            <w:gridSpan w:val="2"/>
            <w:tcBorders/>
            <w:vAlign w:val="center"/>
          </w:tcPr>
          <w:p>
            <w:pPr>
              <w:pStyle w:val="HorizontalLine"/>
              <w:pBdr>
                <w:bottom w:val="double" w:sz="2" w:space="0" w:color="808080"/>
              </w:pBdr>
              <w:bidi w:val="0"/>
              <w:spacing w:before="0" w:after="283"/>
              <w:jc w:val="left"/>
              <w:rPr/>
            </w:pPr>
            <w:r>
              <w:rPr/>
            </w:r>
          </w:p>
        </w:tc>
        <w:tc>
          <w:tcPr>
            <w:tcW w:w="8696" w:type="dxa"/>
            <w:tcBorders/>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9990" w:type="dxa"/>
            <w:gridSpan w:val="2"/>
            <w:tcBorders/>
            <w:vAlign w:val="center"/>
          </w:tcPr>
          <w:p>
            <w:pPr>
              <w:pStyle w:val="TableContents"/>
              <w:bidi w:val="0"/>
              <w:spacing w:before="0" w:after="283"/>
              <w:jc w:val="left"/>
              <w:rPr/>
            </w:pPr>
            <w:r>
              <w:rPr/>
              <w:t xml:space="preserve">In accordance with Rule 457(g) under the Securities Act, because the Class A common stock, par value $0.0001, of the Registrant (the "Common Stock") underlying the warrants are registered hereby, no separate registration fee is required with respect to the warrants registered hereby. </w:t>
            </w:r>
          </w:p>
        </w:tc>
      </w:tr>
      <w:tr>
        <w:trPr/>
        <w:tc>
          <w:tcPr>
            <w:tcW w:w="1509" w:type="dxa"/>
            <w:gridSpan w:val="2"/>
            <w:tcBorders/>
            <w:vAlign w:val="center"/>
          </w:tcPr>
          <w:p>
            <w:pPr>
              <w:pStyle w:val="HorizontalLine"/>
              <w:pBdr>
                <w:bottom w:val="double" w:sz="2" w:space="0" w:color="808080"/>
              </w:pBdr>
              <w:bidi w:val="0"/>
              <w:spacing w:before="0" w:after="283"/>
              <w:jc w:val="left"/>
              <w:rPr/>
            </w:pPr>
            <w:r>
              <w:rPr/>
            </w:r>
          </w:p>
        </w:tc>
        <w:tc>
          <w:tcPr>
            <w:tcW w:w="8696" w:type="dxa"/>
            <w:tcBorders/>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9990" w:type="dxa"/>
            <w:gridSpan w:val="2"/>
            <w:tcBorders/>
            <w:vAlign w:val="center"/>
          </w:tcPr>
          <w:p>
            <w:pPr>
              <w:pStyle w:val="TableContents"/>
              <w:bidi w:val="0"/>
              <w:spacing w:before="0" w:after="283"/>
              <w:jc w:val="left"/>
              <w:rPr/>
            </w:pPr>
            <w:r>
              <w:rPr/>
              <w:t xml:space="preserve">Estimated solely for the purpose of calculating the registration fee pursuant to Rule 457(o) under the Securities Act, the proposed maximum aggregate offering price of the Common Stock underlying the two-year milestone warrants is equal to $1,437,500 (which is 100% of $1,437,500). </w:t>
            </w:r>
          </w:p>
        </w:tc>
      </w:tr>
      <w:tr>
        <w:trPr/>
        <w:tc>
          <w:tcPr>
            <w:tcW w:w="1509" w:type="dxa"/>
            <w:gridSpan w:val="2"/>
            <w:tcBorders/>
            <w:vAlign w:val="center"/>
          </w:tcPr>
          <w:p>
            <w:pPr>
              <w:pStyle w:val="HorizontalLine"/>
              <w:pBdr>
                <w:bottom w:val="double" w:sz="2" w:space="0" w:color="808080"/>
              </w:pBdr>
              <w:bidi w:val="0"/>
              <w:spacing w:before="0" w:after="283"/>
              <w:jc w:val="left"/>
              <w:rPr/>
            </w:pPr>
            <w:r>
              <w:rPr/>
            </w:r>
          </w:p>
        </w:tc>
        <w:tc>
          <w:tcPr>
            <w:tcW w:w="8696" w:type="dxa"/>
            <w:tcBorders/>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9990" w:type="dxa"/>
            <w:gridSpan w:val="2"/>
            <w:tcBorders/>
            <w:vAlign w:val="center"/>
          </w:tcPr>
          <w:p>
            <w:pPr>
              <w:pStyle w:val="TableContents"/>
              <w:bidi w:val="0"/>
              <w:spacing w:before="0" w:after="283"/>
              <w:jc w:val="left"/>
              <w:rPr/>
            </w:pPr>
            <w:r>
              <w:rPr/>
              <w:t xml:space="preserve">In accordance with Rule 457(g) under the Securities Act, because the Class A common stock, par value $0.0001, of the Registrant (the "Common Stock") underlying the warrants are registered hereby, no separate registration fee is required with respect to the warrants registered hereby </w:t>
            </w:r>
          </w:p>
        </w:tc>
      </w:tr>
      <w:tr>
        <w:trPr/>
        <w:tc>
          <w:tcPr>
            <w:tcW w:w="1509" w:type="dxa"/>
            <w:gridSpan w:val="2"/>
            <w:tcBorders/>
            <w:vAlign w:val="center"/>
          </w:tcPr>
          <w:p>
            <w:pPr>
              <w:pStyle w:val="HorizontalLine"/>
              <w:pBdr>
                <w:bottom w:val="double" w:sz="2" w:space="0" w:color="808080"/>
              </w:pBdr>
              <w:bidi w:val="0"/>
              <w:spacing w:before="0" w:after="283"/>
              <w:jc w:val="left"/>
              <w:rPr/>
            </w:pPr>
            <w:r>
              <w:rPr/>
            </w:r>
          </w:p>
        </w:tc>
        <w:tc>
          <w:tcPr>
            <w:tcW w:w="8696" w:type="dxa"/>
            <w:tcBorders/>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lineRule="auto" w:line="288" w:before="0" w:after="0"/>
              <w:ind w:left="0" w:right="0" w:hanging="0"/>
              <w:jc w:val="left"/>
              <w:rPr/>
            </w:pPr>
            <w:r>
              <w:rPr>
                <w:sz w:val="15"/>
              </w:rPr>
              <w:t>7</w:t>
            </w:r>
            <w:r>
              <w:rPr/>
              <w:t xml:space="preserve"> </w:t>
            </w:r>
          </w:p>
        </w:tc>
        <w:tc>
          <w:tcPr>
            <w:tcW w:w="9990" w:type="dxa"/>
            <w:gridSpan w:val="2"/>
            <w:tcBorders/>
            <w:vAlign w:val="center"/>
          </w:tcPr>
          <w:p>
            <w:pPr>
              <w:pStyle w:val="TableContents"/>
              <w:bidi w:val="0"/>
              <w:spacing w:before="0" w:after="283"/>
              <w:jc w:val="left"/>
              <w:rPr/>
            </w:pPr>
            <w:r>
              <w:rPr/>
              <w:t xml:space="preserve">Estimated solely for the purpose of calculating the registration fee pursuant to Rule 457(o) under the Securities Act, the proposed maximum aggregate offering price of the Common Stock underlying the five-year milestone warrants is equal to 1,653,125 (which is 115% of $1,437,500). </w:t>
            </w:r>
          </w:p>
        </w:tc>
      </w:tr>
      <w:tr>
        <w:trPr/>
        <w:tc>
          <w:tcPr>
            <w:tcW w:w="1509" w:type="dxa"/>
            <w:gridSpan w:val="2"/>
            <w:tcBorders/>
            <w:vAlign w:val="center"/>
          </w:tcPr>
          <w:p>
            <w:pPr>
              <w:pStyle w:val="HorizontalLine"/>
              <w:pBdr>
                <w:bottom w:val="double" w:sz="2" w:space="0" w:color="808080"/>
              </w:pBdr>
              <w:bidi w:val="0"/>
              <w:spacing w:before="0" w:after="283"/>
              <w:jc w:val="left"/>
              <w:rPr/>
            </w:pPr>
            <w:r>
              <w:rPr/>
            </w:r>
          </w:p>
        </w:tc>
        <w:tc>
          <w:tcPr>
            <w:tcW w:w="869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7607/000110465926081860/tm2615250-3_s1.htm"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2944</Words>
  <Characters>16339</Characters>
  <CharactersWithSpaces>19386</CharactersWithSpaces>
  <Paragraphs>520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