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323850</wp:posOffset>
                </wp:positionH>
                <wp:positionV relativeFrom="page">
                  <wp:posOffset>889635</wp:posOffset>
                </wp:positionV>
                <wp:extent cx="68961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70.05pt" to="568.5pt,70.0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323850</wp:posOffset>
                </wp:positionH>
                <wp:positionV relativeFrom="page">
                  <wp:posOffset>954405</wp:posOffset>
                </wp:positionV>
                <wp:extent cx="68961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75.15pt" to="568.5pt,75.15pt" o:allowincell="f" strokecolor="#000000" strokeweight="0.96pt">
                <w10:wrap anchorx="page" anchory="page"/>
              </v:line>
            </w:pict>
          </mc:Fallback>
        </mc:AlternateContent>
      </w:r>
    </w:p>
    <w:p>
      <w:pPr>
        <w:jc w:val="center"/>
        <w:ind w:right="-79"/>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128905</wp:posOffset>
                </wp:positionV>
                <wp:extent cx="17145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10.15pt" to="337.4pt,10.15pt" o:allowincell="f" strokecolor="#000000" strokeweight="1.02pt"/>
            </w:pict>
          </mc:Fallback>
        </mc:AlternateContent>
      </w:r>
    </w:p>
    <w:p>
      <w:pPr>
        <w:spacing w:after="0" w:line="2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117475</wp:posOffset>
                </wp:positionV>
                <wp:extent cx="17145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9.25pt" to="337.4pt,9.25pt" o:allowincell="f" strokecolor="#000000" strokeweight="1.02pt"/>
            </w:pict>
          </mc:Fallback>
        </mc:AlternateContent>
      </w: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8" w:lineRule="exact"/>
        <w:rPr>
          <w:sz w:val="24"/>
          <w:szCs w:val="24"/>
          <w:color w:val="auto"/>
        </w:rPr>
      </w:pPr>
    </w:p>
    <w:p>
      <w:pPr>
        <w:ind w:left="1100" w:hanging="201"/>
        <w:spacing w:after="0"/>
        <w:tabs>
          <w:tab w:leader="none" w:pos="1100" w:val="left"/>
        </w:tabs>
        <w:numPr>
          <w:ilvl w:val="0"/>
          <w:numId w:val="1"/>
        </w:numPr>
        <w:rPr>
          <w:rFonts w:ascii="Segoe UI Symbol" w:cs="Segoe UI Symbol" w:eastAsia="Segoe UI Symbol" w:hAnsi="Segoe UI Symbol"/>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5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8" w:lineRule="exact"/>
        <w:rPr>
          <w:sz w:val="24"/>
          <w:szCs w:val="24"/>
          <w:color w:val="auto"/>
        </w:rPr>
      </w:pPr>
    </w:p>
    <w:p>
      <w:pPr>
        <w:ind w:left="1000" w:hanging="366"/>
        <w:spacing w:after="0"/>
        <w:tabs>
          <w:tab w:leader="none" w:pos="1000" w:val="left"/>
        </w:tabs>
        <w:numPr>
          <w:ilvl w:val="0"/>
          <w:numId w:val="2"/>
        </w:numPr>
        <w:rPr>
          <w:rFonts w:ascii="Segoe UI Symbol" w:cs="Segoe UI Symbol" w:eastAsia="Segoe UI Symbol" w:hAnsi="Segoe UI Symbol"/>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6" w:lineRule="exact"/>
        <w:rPr>
          <w:sz w:val="24"/>
          <w:szCs w:val="24"/>
          <w:color w:val="auto"/>
        </w:rPr>
      </w:pPr>
    </w:p>
    <w:p>
      <w:pPr>
        <w:ind w:left="4200"/>
        <w:spacing w:after="0"/>
        <w:tabs>
          <w:tab w:leader="none" w:pos="64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3844925</wp:posOffset>
                </wp:positionH>
                <wp:positionV relativeFrom="paragraph">
                  <wp:posOffset>-8255</wp:posOffset>
                </wp:positionV>
                <wp:extent cx="22098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980" cy="4763"/>
                        </a:xfrm>
                        <a:prstGeom prst="line">
                          <a:avLst/>
                        </a:prstGeom>
                        <a:solidFill>
                          <a:srgbClr val="FFFFFF"/>
                        </a:solidFill>
                        <a:ln w="8382">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75pt,-0.6499pt" to="320.15pt,-0.6499pt" o:allowincell="f" strokecolor="#000000" strokeweight="0.66pt"/>
            </w:pict>
          </mc:Fallback>
        </mc:AlternateContent>
      </w:r>
    </w:p>
    <w:p>
      <w:pPr>
        <w:spacing w:after="0" w:line="8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Commission File Number: 001-40021</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106045</wp:posOffset>
                </wp:positionV>
                <wp:extent cx="17145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8.35pt" to="337.4pt,8.35pt" o:allowincell="f" strokecolor="#000000" strokeweight="1.02pt"/>
            </w:pict>
          </mc:Fallback>
        </mc:AlternateContent>
      </w:r>
    </w:p>
    <w:p>
      <w:pPr>
        <w:spacing w:after="0" w:line="16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2"/>
          <w:szCs w:val="42"/>
          <w:b w:val="1"/>
          <w:bCs w:val="1"/>
          <w:color w:val="auto"/>
        </w:rPr>
        <w:t>AEON Biopharma, Inc.</w:t>
      </w:r>
    </w:p>
    <w:p>
      <w:pPr>
        <w:spacing w:after="0" w:line="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91440</wp:posOffset>
                </wp:positionV>
                <wp:extent cx="17145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7.2pt" to="337.4pt,7.2pt" o:allowincell="f" strokecolor="#000000" strokeweight="1.0199pt"/>
            </w:pict>
          </mc:Fallback>
        </mc:AlternateContent>
      </w:r>
    </w:p>
    <w:p>
      <w:pPr>
        <w:spacing w:after="0" w:line="2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80" w:type="dxa"/>
            <w:vAlign w:val="bottom"/>
          </w:tcPr>
          <w:p>
            <w:pPr>
              <w:jc w:val="center"/>
              <w:ind w:right="93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20" w:type="dxa"/>
            <w:vAlign w:val="bottom"/>
            <w:gridSpan w:val="2"/>
          </w:tcPr>
          <w:p>
            <w:pPr>
              <w:jc w:val="center"/>
              <w:ind w:right="630"/>
              <w:spacing w:after="0"/>
              <w:rPr>
                <w:sz w:val="20"/>
                <w:szCs w:val="20"/>
                <w:color w:val="auto"/>
              </w:rPr>
            </w:pPr>
            <w:r>
              <w:rPr>
                <w:rFonts w:ascii="Times New Roman" w:cs="Times New Roman" w:eastAsia="Times New Roman" w:hAnsi="Times New Roman"/>
                <w:sz w:val="14"/>
                <w:szCs w:val="14"/>
                <w:b w:val="1"/>
                <w:bCs w:val="1"/>
                <w:color w:val="auto"/>
              </w:rPr>
              <w:t>85-3940478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280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4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c>
          <w:tcPr>
            <w:tcW w:w="0" w:type="dxa"/>
            <w:vAlign w:val="bottom"/>
          </w:tcPr>
          <w:p>
            <w:pPr>
              <w:spacing w:after="0"/>
              <w:rPr>
                <w:sz w:val="1"/>
                <w:szCs w:val="1"/>
                <w:color w:val="auto"/>
              </w:rPr>
            </w:pPr>
          </w:p>
        </w:tc>
      </w:tr>
      <w:tr>
        <w:trPr>
          <w:trHeight w:val="193"/>
        </w:trPr>
        <w:tc>
          <w:tcPr>
            <w:tcW w:w="1240" w:type="dxa"/>
            <w:vAlign w:val="bottom"/>
          </w:tcPr>
          <w:p>
            <w:pPr>
              <w:spacing w:after="0"/>
              <w:rPr>
                <w:sz w:val="16"/>
                <w:szCs w:val="16"/>
                <w:color w:val="auto"/>
              </w:rPr>
            </w:pPr>
          </w:p>
        </w:tc>
        <w:tc>
          <w:tcPr>
            <w:tcW w:w="280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4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39"/>
        </w:trPr>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9"/>
              </w:rPr>
              <w:t>5 Park Plaza</w:t>
            </w:r>
          </w:p>
        </w:tc>
        <w:tc>
          <w:tcPr>
            <w:tcW w:w="10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6"/>
              </w:rPr>
              <w:t>Suite 1750</w:t>
            </w:r>
          </w:p>
        </w:tc>
        <w:tc>
          <w:tcPr>
            <w:tcW w:w="1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Irvine, CA 92614</w:t>
            </w:r>
          </w:p>
        </w:tc>
        <w:tc>
          <w:tcPr>
            <w:tcW w:w="1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0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840" w:type="dxa"/>
            <w:vAlign w:val="bottom"/>
            <w:gridSpan w:val="2"/>
          </w:tcPr>
          <w:p>
            <w:pPr>
              <w:jc w:val="center"/>
              <w:ind w:left="820"/>
              <w:spacing w:after="0"/>
              <w:rPr>
                <w:sz w:val="20"/>
                <w:szCs w:val="20"/>
                <w:color w:val="auto"/>
              </w:rPr>
            </w:pPr>
            <w:r>
              <w:rPr>
                <w:rFonts w:ascii="Times New Roman" w:cs="Times New Roman" w:eastAsia="Times New Roman" w:hAnsi="Times New Roman"/>
                <w:sz w:val="14"/>
                <w:szCs w:val="14"/>
                <w:b w:val="1"/>
                <w:bCs w:val="1"/>
                <w:color w:val="auto"/>
              </w:rPr>
              <w:t>(949) 354-6499</w:t>
            </w:r>
          </w:p>
        </w:tc>
        <w:tc>
          <w:tcPr>
            <w:tcW w:w="8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w:t>
            </w:r>
          </w:p>
        </w:tc>
        <w:tc>
          <w:tcPr>
            <w:tcW w:w="10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040" w:type="dxa"/>
            <w:vAlign w:val="bottom"/>
            <w:gridSpan w:val="3"/>
            <w:vMerge w:val="continue"/>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p>
        </w:tc>
        <w:tc>
          <w:tcPr>
            <w:tcW w:w="2800" w:type="dxa"/>
            <w:vAlign w:val="bottom"/>
            <w:gridSpan w:val="2"/>
          </w:tcPr>
          <w:p>
            <w:pPr>
              <w:jc w:val="right"/>
              <w:ind w:right="1610"/>
              <w:spacing w:after="0"/>
              <w:rPr>
                <w:sz w:val="20"/>
                <w:szCs w:val="20"/>
                <w:color w:val="auto"/>
              </w:rPr>
            </w:pPr>
            <w:r>
              <w:rPr>
                <w:rFonts w:ascii="Times New Roman" w:cs="Times New Roman" w:eastAsia="Times New Roman" w:hAnsi="Times New Roman"/>
                <w:sz w:val="14"/>
                <w:szCs w:val="14"/>
                <w:b w:val="1"/>
                <w:bCs w:val="1"/>
                <w:color w:val="auto"/>
                <w:w w:val="97"/>
              </w:rPr>
              <w:t>Title of Each Class</w:t>
            </w:r>
          </w:p>
        </w:tc>
        <w:tc>
          <w:tcPr>
            <w:tcW w:w="880" w:type="dxa"/>
            <w:vAlign w:val="bottom"/>
          </w:tcPr>
          <w:p>
            <w:pPr>
              <w:spacing w:after="0"/>
              <w:rPr>
                <w:sz w:val="20"/>
                <w:szCs w:val="20"/>
                <w:color w:val="auto"/>
              </w:rPr>
            </w:pPr>
          </w:p>
        </w:tc>
        <w:tc>
          <w:tcPr>
            <w:tcW w:w="18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80" w:type="dxa"/>
            <w:vAlign w:val="bottom"/>
          </w:tcPr>
          <w:p>
            <w:pPr>
              <w:spacing w:after="0"/>
              <w:rPr>
                <w:sz w:val="20"/>
                <w:szCs w:val="20"/>
                <w:color w:val="auto"/>
              </w:rPr>
            </w:pPr>
          </w:p>
        </w:tc>
        <w:tc>
          <w:tcPr>
            <w:tcW w:w="2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186"/>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w w:val="95"/>
              </w:rPr>
              <w:t>Class A common</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stock, $0.0001 par</w:t>
            </w:r>
          </w:p>
        </w:tc>
        <w:tc>
          <w:tcPr>
            <w:tcW w:w="1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880" w:type="dxa"/>
            <w:vAlign w:val="bottom"/>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AEON</w:t>
            </w: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NYSE American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right="3780"/>
        <w:spacing w:after="0" w:line="429"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No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No </w:t>
      </w:r>
      <w:r>
        <w:rPr>
          <w:rFonts w:ascii="Segoe UI Symbol" w:cs="Segoe UI Symbol" w:eastAsia="Segoe UI Symbol" w:hAnsi="Segoe UI Symbol"/>
          <w:sz w:val="13"/>
          <w:szCs w:val="13"/>
          <w:color w:val="auto"/>
        </w:rPr>
        <w:t>☒</w:t>
      </w:r>
    </w:p>
    <w:p>
      <w:pPr>
        <w:spacing w:after="0" w:line="1" w:lineRule="exact"/>
        <w:rPr>
          <w:sz w:val="24"/>
          <w:szCs w:val="24"/>
          <w:color w:val="auto"/>
        </w:rPr>
      </w:pPr>
    </w:p>
    <w:p>
      <w:pPr>
        <w:ind w:right="100"/>
        <w:spacing w:after="0" w:line="318"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No </w:t>
      </w:r>
      <w:r>
        <w:rPr>
          <w:rFonts w:ascii="Segoe UI Symbol" w:cs="Segoe UI Symbol" w:eastAsia="Segoe UI Symbol" w:hAnsi="Segoe UI Symbol"/>
          <w:sz w:val="13"/>
          <w:szCs w:val="13"/>
          <w:color w:val="auto"/>
        </w:rPr>
        <w:t>☐</w:t>
      </w:r>
    </w:p>
    <w:p>
      <w:pPr>
        <w:spacing w:after="0" w:line="1" w:lineRule="exact"/>
        <w:rPr>
          <w:sz w:val="24"/>
          <w:szCs w:val="24"/>
          <w:color w:val="auto"/>
        </w:rPr>
      </w:pPr>
    </w:p>
    <w:p>
      <w:pPr>
        <w:ind w:right="80"/>
        <w:spacing w:after="0" w:line="31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No </w:t>
      </w:r>
      <w:r>
        <w:rPr>
          <w:rFonts w:ascii="Segoe UI Symbol" w:cs="Segoe UI Symbol" w:eastAsia="Segoe UI Symbol" w:hAnsi="Segoe UI Symbol"/>
          <w:sz w:val="13"/>
          <w:szCs w:val="13"/>
          <w:color w:val="auto"/>
        </w:rPr>
        <w:t>☐</w:t>
      </w:r>
    </w:p>
    <w:p>
      <w:pPr>
        <w:spacing w:after="0" w:line="1" w:lineRule="exact"/>
        <w:rPr>
          <w:sz w:val="24"/>
          <w:szCs w:val="24"/>
          <w:color w:val="auto"/>
        </w:rPr>
      </w:pPr>
    </w:p>
    <w:p>
      <w:pPr>
        <w:ind w:right="200"/>
        <w:spacing w:after="0" w:line="27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620" w:type="dxa"/>
            <w:vAlign w:val="bottom"/>
          </w:tcPr>
          <w:p>
            <w:pPr>
              <w:ind w:left="300"/>
              <w:spacing w:after="0"/>
              <w:rPr>
                <w:sz w:val="20"/>
                <w:szCs w:val="20"/>
                <w:color w:val="auto"/>
              </w:rPr>
            </w:pPr>
            <w:r>
              <w:rPr>
                <w:rFonts w:ascii="Segoe UI Symbol" w:cs="Segoe UI Symbol" w:eastAsia="Segoe UI Symbol" w:hAnsi="Segoe UI Symbol"/>
                <w:sz w:val="13"/>
                <w:szCs w:val="13"/>
                <w:color w:val="auto"/>
              </w:rPr>
              <w:t>☐</w:t>
            </w:r>
          </w:p>
        </w:tc>
        <w:tc>
          <w:tcPr>
            <w:tcW w:w="3040" w:type="dxa"/>
            <w:vAlign w:val="bottom"/>
          </w:tcPr>
          <w:p>
            <w:pPr>
              <w:ind w:left="1200"/>
              <w:spacing w:after="0"/>
              <w:rPr>
                <w:sz w:val="20"/>
                <w:szCs w:val="20"/>
                <w:color w:val="auto"/>
              </w:rPr>
            </w:pPr>
            <w:r>
              <w:rPr>
                <w:rFonts w:ascii="Times New Roman" w:cs="Times New Roman" w:eastAsia="Times New Roman" w:hAnsi="Times New Roman"/>
                <w:sz w:val="13"/>
                <w:szCs w:val="13"/>
                <w:color w:val="auto"/>
              </w:rPr>
              <w:t>Accelerated filer</w:t>
            </w:r>
          </w:p>
        </w:tc>
        <w:tc>
          <w:tcPr>
            <w:tcW w:w="1220" w:type="dxa"/>
            <w:vAlign w:val="bottom"/>
          </w:tcPr>
          <w:p>
            <w:pPr>
              <w:ind w:left="320"/>
              <w:spacing w:after="0"/>
              <w:rPr>
                <w:sz w:val="20"/>
                <w:szCs w:val="20"/>
                <w:color w:val="auto"/>
              </w:rPr>
            </w:pPr>
            <w:r>
              <w:rPr>
                <w:rFonts w:ascii="Segoe UI Symbol" w:cs="Segoe UI Symbol" w:eastAsia="Segoe UI Symbol" w:hAnsi="Segoe UI Symbol"/>
                <w:sz w:val="13"/>
                <w:szCs w:val="13"/>
                <w:color w:val="auto"/>
              </w:rPr>
              <w:t>☐</w:t>
            </w:r>
          </w:p>
        </w:tc>
        <w:tc>
          <w:tcPr>
            <w:tcW w:w="2760" w:type="dxa"/>
            <w:vAlign w:val="bottom"/>
          </w:tcPr>
          <w:p>
            <w:pPr>
              <w:spacing w:after="0"/>
              <w:rPr>
                <w:sz w:val="18"/>
                <w:szCs w:val="18"/>
                <w:color w:val="auto"/>
              </w:rPr>
            </w:pPr>
          </w:p>
        </w:tc>
        <w:tc>
          <w:tcPr>
            <w:tcW w:w="580" w:type="dxa"/>
            <w:vAlign w:val="bottom"/>
            <w:vMerge w:val="restart"/>
          </w:tcPr>
          <w:p>
            <w:pPr>
              <w:ind w:left="460"/>
              <w:spacing w:after="0"/>
              <w:rPr>
                <w:sz w:val="20"/>
                <w:szCs w:val="20"/>
                <w:color w:val="auto"/>
              </w:rPr>
            </w:pPr>
            <w:r>
              <w:rPr>
                <w:rFonts w:ascii="Segoe UI Symbol" w:cs="Segoe UI Symbol" w:eastAsia="Segoe UI Symbol" w:hAnsi="Segoe UI Symbol"/>
                <w:sz w:val="14"/>
                <w:szCs w:val="14"/>
                <w:color w:val="auto"/>
                <w:w w:val="82"/>
              </w:rPr>
              <w:t>☒</w:t>
            </w:r>
          </w:p>
        </w:tc>
        <w:tc>
          <w:tcPr>
            <w:tcW w:w="0" w:type="dxa"/>
            <w:vAlign w:val="bottom"/>
          </w:tcPr>
          <w:p>
            <w:pPr>
              <w:spacing w:after="0"/>
              <w:rPr>
                <w:sz w:val="1"/>
                <w:szCs w:val="1"/>
                <w:color w:val="auto"/>
              </w:rPr>
            </w:pPr>
          </w:p>
        </w:tc>
      </w:tr>
      <w:tr>
        <w:trPr>
          <w:trHeight w:val="31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620" w:type="dxa"/>
            <w:vAlign w:val="bottom"/>
          </w:tcPr>
          <w:p>
            <w:pPr>
              <w:ind w:left="300"/>
              <w:spacing w:after="0"/>
              <w:rPr>
                <w:sz w:val="20"/>
                <w:szCs w:val="20"/>
                <w:color w:val="auto"/>
              </w:rPr>
            </w:pPr>
            <w:r>
              <w:rPr>
                <w:rFonts w:ascii="Segoe UI Symbol" w:cs="Segoe UI Symbol" w:eastAsia="Segoe UI Symbol" w:hAnsi="Segoe UI Symbol"/>
                <w:sz w:val="14"/>
                <w:szCs w:val="14"/>
                <w:color w:val="auto"/>
              </w:rPr>
              <w:t>☒</w:t>
            </w:r>
          </w:p>
        </w:tc>
        <w:tc>
          <w:tcPr>
            <w:tcW w:w="304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20" w:type="dxa"/>
            <w:vAlign w:val="bottom"/>
          </w:tcPr>
          <w:p>
            <w:pPr>
              <w:ind w:left="320"/>
              <w:spacing w:after="0"/>
              <w:rPr>
                <w:sz w:val="20"/>
                <w:szCs w:val="20"/>
                <w:color w:val="auto"/>
              </w:rPr>
            </w:pPr>
            <w:r>
              <w:rPr>
                <w:rFonts w:ascii="Segoe UI Symbol" w:cs="Segoe UI Symbol" w:eastAsia="Segoe UI Symbol" w:hAnsi="Segoe UI Symbol"/>
                <w:sz w:val="14"/>
                <w:szCs w:val="14"/>
                <w:color w:val="auto"/>
              </w:rPr>
              <w:t>☒</w:t>
            </w:r>
          </w:p>
        </w:tc>
        <w:tc>
          <w:tcPr>
            <w:tcW w:w="276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Emerging growth company</w:t>
            </w: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right="340"/>
        <w:spacing w:after="0" w:line="299"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4"/>
          <w:szCs w:val="14"/>
          <w:color w:val="auto"/>
        </w:rPr>
        <w:t>☐</w:t>
      </w:r>
    </w:p>
    <w:p>
      <w:pPr>
        <w:ind w:right="280"/>
        <w:spacing w:after="0" w:line="286"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4"/>
          <w:szCs w:val="14"/>
          <w:color w:val="auto"/>
        </w:rPr>
        <w:t>☐</w:t>
      </w:r>
    </w:p>
    <w:p>
      <w:pPr>
        <w:ind w:right="60"/>
        <w:spacing w:after="0" w:line="285"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4"/>
          <w:szCs w:val="14"/>
          <w:color w:val="auto"/>
        </w:rPr>
        <w:t>☐</w:t>
      </w:r>
    </w:p>
    <w:p>
      <w:pPr>
        <w:spacing w:after="0"/>
        <w:tabs>
          <w:tab w:leader="none" w:pos="70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ab/>
        <w:t xml:space="preserve">No </w:t>
      </w:r>
      <w:r>
        <w:rPr>
          <w:rFonts w:ascii="Segoe UI Symbol" w:cs="Segoe UI Symbol" w:eastAsia="Segoe UI Symbol" w:hAnsi="Segoe UI Symbol"/>
          <w:sz w:val="14"/>
          <w:szCs w:val="14"/>
          <w:color w:val="auto"/>
        </w:rPr>
        <w:t>☒</w:t>
      </w:r>
    </w:p>
    <w:p>
      <w:pPr>
        <w:spacing w:after="0" w:line="72" w:lineRule="exact"/>
        <w:rPr>
          <w:sz w:val="24"/>
          <w:szCs w:val="24"/>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registrant's Class A common stock on the last business day of the registrant’s most recently completed second fiscal quarter was approximately $8.7 million.</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23, 2026, there were 25,303,058 of the registrant’s shares of Class A common stock, $0.0001 par value per share, outstanding.</w:t>
      </w:r>
    </w:p>
    <w:p>
      <w:pPr>
        <w:spacing w:after="0" w:line="6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i w:val="1"/>
          <w:iCs w:val="1"/>
          <w:color w:val="auto"/>
        </w:rPr>
        <w:t>DOCUMENTS INCORPORATED BY REFERENCE</w:t>
      </w:r>
    </w:p>
    <w:p>
      <w:pPr>
        <w:spacing w:after="0" w:line="64" w:lineRule="exact"/>
        <w:rPr>
          <w:sz w:val="24"/>
          <w:szCs w:val="24"/>
          <w:color w:val="auto"/>
        </w:rPr>
      </w:pPr>
    </w:p>
    <w:p>
      <w:pPr>
        <w:ind w:right="260"/>
        <w:spacing w:after="0" w:line="318"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2026 Annual Meeting of Stockholders, which the registrant intends to file pursuant to Regulation 14A with the Securities and Exchange Commission no later than 120 days after the registrant’s fiscal year ended December 31, 2025, are incorporated by reference into Part III of this Annual Report on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53340</wp:posOffset>
                </wp:positionV>
                <wp:extent cx="68961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4.2pt" to="541.5pt,4.2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118110</wp:posOffset>
                </wp:positionV>
                <wp:extent cx="68961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9.3pt" to="541.5pt,9.3pt" o:allowincell="f" strokecolor="#000000" strokeweight="3pt"/>
            </w:pict>
          </mc:Fallback>
        </mc:AlternateContent>
      </w:r>
    </w:p>
    <w:p>
      <w:pPr>
        <w:sectPr>
          <w:pgSz w:w="11880" w:h="15480" w:orient="portrait"/>
          <w:cols w:equalWidth="0" w:num="1">
            <w:col w:w="10720"/>
          </w:cols>
          <w:pgMar w:left="540" w:top="1440" w:right="620" w:bottom="192" w:gutter="0" w:footer="0" w:header="0"/>
        </w:sectPr>
      </w:pPr>
    </w:p>
    <w:bookmarkStart w:id="1" w:name="page2"/>
    <w:bookmarkEnd w:id="1"/>
    <w:p>
      <w:pPr>
        <w:ind w:left="43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55"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6"/>
          <w:szCs w:val="16"/>
          <w:b w:val="1"/>
          <w:bCs w:val="1"/>
          <w:u w:val="single" w:color="auto"/>
          <w:color w:val="auto"/>
        </w:rPr>
        <w:t>Page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4" w:lineRule="exact"/>
        <w:rPr>
          <w:sz w:val="20"/>
          <w:szCs w:val="20"/>
          <w:color w:val="auto"/>
        </w:rPr>
      </w:pPr>
    </w:p>
    <w:p>
      <w:pPr>
        <w:spacing w:after="0"/>
        <w:tabs>
          <w:tab w:leader="none" w:pos="980" w:val="left"/>
          <w:tab w:leader="none" w:pos="1068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w:t>
      </w:r>
    </w:p>
    <w:p>
      <w:pPr>
        <w:spacing w:after="0" w:line="28" w:lineRule="exact"/>
        <w:rPr>
          <w:sz w:val="20"/>
          <w:szCs w:val="20"/>
          <w:color w:val="auto"/>
        </w:rPr>
      </w:pPr>
    </w:p>
    <w:p>
      <w:pPr>
        <w:spacing w:after="0"/>
        <w:tabs>
          <w:tab w:leader="none" w:pos="980" w:val="left"/>
          <w:tab w:leader="none" w:pos="10580" w:val="left"/>
        </w:tabs>
        <w:rPr>
          <w:sz w:val="20"/>
          <w:szCs w:val="20"/>
          <w:color w:val="auto"/>
        </w:rPr>
      </w:pPr>
      <w:r>
        <w:rPr>
          <w:rFonts w:ascii="Times New Roman" w:cs="Times New Roman" w:eastAsia="Times New Roman" w:hAnsi="Times New Roman"/>
          <w:sz w:val="20"/>
          <w:szCs w:val="20"/>
          <w:color w:val="auto"/>
        </w:rPr>
        <w:t>Item 1A.</w:t>
        <w:tab/>
        <w:t>Risk Factors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20</w:t>
      </w:r>
    </w:p>
    <w:p>
      <w:pPr>
        <w:spacing w:after="0"/>
        <w:tabs>
          <w:tab w:leader="none" w:pos="980" w:val="left"/>
          <w:tab w:leader="none" w:pos="10580" w:val="left"/>
        </w:tabs>
        <w:rPr>
          <w:sz w:val="20"/>
          <w:szCs w:val="20"/>
          <w:color w:val="auto"/>
        </w:rPr>
      </w:pPr>
      <w:r>
        <w:rPr>
          <w:rFonts w:ascii="Times New Roman" w:cs="Times New Roman" w:eastAsia="Times New Roman" w:hAnsi="Times New Roman"/>
          <w:sz w:val="20"/>
          <w:szCs w:val="20"/>
          <w:color w:val="auto"/>
        </w:rPr>
        <w:t>Item 1B.</w:t>
        <w:tab/>
        <w:t>Unresolved Staff Comments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65</w:t>
      </w:r>
    </w:p>
    <w:p>
      <w:pPr>
        <w:spacing w:after="0"/>
        <w:tabs>
          <w:tab w:leader="none" w:pos="980" w:val="left"/>
          <w:tab w:leader="none" w:pos="10580" w:val="left"/>
        </w:tabs>
        <w:rPr>
          <w:sz w:val="20"/>
          <w:szCs w:val="20"/>
          <w:color w:val="auto"/>
        </w:rPr>
      </w:pPr>
      <w:r>
        <w:rPr>
          <w:rFonts w:ascii="Times New Roman" w:cs="Times New Roman" w:eastAsia="Times New Roman" w:hAnsi="Times New Roman"/>
          <w:sz w:val="20"/>
          <w:szCs w:val="20"/>
          <w:color w:val="auto"/>
        </w:rPr>
        <w:t>Item 1C.</w:t>
        <w:tab/>
        <w:t>Cybersecurity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65</w:t>
      </w:r>
    </w:p>
    <w:p>
      <w:pPr>
        <w:spacing w:after="0"/>
        <w:tabs>
          <w:tab w:leader="none" w:pos="980" w:val="left"/>
          <w:tab w:leader="none" w:pos="1058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66</w:t>
      </w:r>
    </w:p>
    <w:p>
      <w:pPr>
        <w:spacing w:after="0"/>
        <w:tabs>
          <w:tab w:leader="none" w:pos="980" w:val="left"/>
          <w:tab w:leader="none" w:pos="1058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66</w:t>
      </w:r>
    </w:p>
    <w:p>
      <w:pPr>
        <w:spacing w:after="0"/>
        <w:tabs>
          <w:tab w:leader="none" w:pos="980" w:val="left"/>
          <w:tab w:leader="none" w:pos="1058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4" w:lineRule="exact"/>
        <w:rPr>
          <w:sz w:val="20"/>
          <w:szCs w:val="20"/>
          <w:color w:val="auto"/>
        </w:rPr>
      </w:pPr>
    </w:p>
    <w:p>
      <w:pPr>
        <w:spacing w:after="0"/>
        <w:tabs>
          <w:tab w:leader="none" w:pos="980" w:val="left"/>
          <w:tab w:leader="none" w:pos="1058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Common Equity, Related Stockholder Matters and Issuer Purchases of Equity Securities . . .</w:t>
      </w:r>
      <w:r>
        <w:rPr>
          <w:sz w:val="20"/>
          <w:szCs w:val="20"/>
          <w:color w:val="auto"/>
        </w:rPr>
        <w:tab/>
      </w:r>
      <w:r>
        <w:rPr>
          <w:rFonts w:ascii="Times New Roman" w:cs="Times New Roman" w:eastAsia="Times New Roman" w:hAnsi="Times New Roman"/>
          <w:sz w:val="20"/>
          <w:szCs w:val="20"/>
          <w:color w:val="auto"/>
        </w:rPr>
        <w:t>68</w:t>
      </w:r>
    </w:p>
    <w:p>
      <w:pPr>
        <w:spacing w:after="0" w:line="28" w:lineRule="exact"/>
        <w:rPr>
          <w:sz w:val="20"/>
          <w:szCs w:val="20"/>
          <w:color w:val="auto"/>
        </w:rPr>
      </w:pPr>
    </w:p>
    <w:p>
      <w:pPr>
        <w:spacing w:after="0"/>
        <w:tabs>
          <w:tab w:leader="none" w:pos="980" w:val="left"/>
          <w:tab w:leader="none" w:pos="1058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68</w:t>
      </w:r>
    </w:p>
    <w:p>
      <w:pPr>
        <w:spacing w:after="0"/>
        <w:tabs>
          <w:tab w:leader="none" w:pos="980" w:val="left"/>
          <w:tab w:leader="none" w:pos="1058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 . . . . . . . . . . . . . . . . . . . . . .</w:t>
      </w:r>
      <w:r>
        <w:rPr>
          <w:sz w:val="20"/>
          <w:szCs w:val="20"/>
          <w:color w:val="auto"/>
        </w:rPr>
        <w:tab/>
      </w:r>
      <w:r>
        <w:rPr>
          <w:rFonts w:ascii="Times New Roman" w:cs="Times New Roman" w:eastAsia="Times New Roman" w:hAnsi="Times New Roman"/>
          <w:sz w:val="20"/>
          <w:szCs w:val="20"/>
          <w:color w:val="auto"/>
        </w:rPr>
        <w:t>69</w:t>
      </w:r>
    </w:p>
    <w:p>
      <w:pPr>
        <w:spacing w:after="0"/>
        <w:tabs>
          <w:tab w:leader="none" w:pos="980" w:val="left"/>
          <w:tab w:leader="none" w:pos="1058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 . . . . . . . . . . . . . . . . . . . . . . . . . . . . . . . . . . . . . . . . . . . . . .</w:t>
      </w:r>
      <w:r>
        <w:rPr>
          <w:sz w:val="20"/>
          <w:szCs w:val="20"/>
          <w:color w:val="auto"/>
        </w:rPr>
        <w:tab/>
      </w:r>
      <w:r>
        <w:rPr>
          <w:rFonts w:ascii="Times New Roman" w:cs="Times New Roman" w:eastAsia="Times New Roman" w:hAnsi="Times New Roman"/>
          <w:sz w:val="20"/>
          <w:szCs w:val="20"/>
          <w:color w:val="auto"/>
        </w:rPr>
        <w:t>84</w:t>
      </w:r>
    </w:p>
    <w:p>
      <w:pPr>
        <w:spacing w:after="0"/>
        <w:tabs>
          <w:tab w:leader="none" w:pos="980" w:val="left"/>
          <w:tab w:leader="none" w:pos="1058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 . . . . . . . . . . . . . . . . . . . . . . . .</w:t>
      </w:r>
      <w:r>
        <w:rPr>
          <w:sz w:val="20"/>
          <w:szCs w:val="20"/>
          <w:color w:val="auto"/>
        </w:rPr>
        <w:tab/>
      </w:r>
      <w:r>
        <w:rPr>
          <w:rFonts w:ascii="Times New Roman" w:cs="Times New Roman" w:eastAsia="Times New Roman" w:hAnsi="Times New Roman"/>
          <w:sz w:val="20"/>
          <w:szCs w:val="20"/>
          <w:color w:val="auto"/>
        </w:rPr>
        <w:t>85</w:t>
      </w:r>
    </w:p>
    <w:p>
      <w:pPr>
        <w:spacing w:after="0"/>
        <w:tabs>
          <w:tab w:leader="none" w:pos="980" w:val="left"/>
          <w:tab w:leader="none" w:pos="1048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 . . . . . . . . . . . . . . . . . . . . . .</w:t>
        <w:tab/>
        <w:t>119</w:t>
      </w:r>
    </w:p>
    <w:p>
      <w:pPr>
        <w:spacing w:after="0"/>
        <w:tabs>
          <w:tab w:leader="none" w:pos="980" w:val="left"/>
          <w:tab w:leader="none" w:pos="10480" w:val="left"/>
        </w:tabs>
        <w:rPr>
          <w:sz w:val="20"/>
          <w:szCs w:val="20"/>
          <w:color w:val="auto"/>
        </w:rPr>
      </w:pPr>
      <w:r>
        <w:rPr>
          <w:rFonts w:ascii="Times New Roman" w:cs="Times New Roman" w:eastAsia="Times New Roman" w:hAnsi="Times New Roman"/>
          <w:sz w:val="20"/>
          <w:szCs w:val="20"/>
          <w:color w:val="auto"/>
        </w:rPr>
        <w:t>Item 9A.</w:t>
        <w:tab/>
        <w:t>Controls and Procedures . . . . . . . . . . . . . . . . . . . . . . . . . . . . . . . . . . . . . . . . . . . . . . . . . . . . . . . . . . . . . . . . . . . . . . . . . . . .</w:t>
        <w:tab/>
        <w:t>119</w:t>
      </w:r>
    </w:p>
    <w:p>
      <w:pPr>
        <w:spacing w:after="0"/>
        <w:tabs>
          <w:tab w:leader="none" w:pos="980" w:val="left"/>
          <w:tab w:leader="none" w:pos="10480" w:val="left"/>
        </w:tabs>
        <w:rPr>
          <w:sz w:val="20"/>
          <w:szCs w:val="20"/>
          <w:color w:val="auto"/>
        </w:rPr>
      </w:pPr>
      <w:r>
        <w:rPr>
          <w:rFonts w:ascii="Times New Roman" w:cs="Times New Roman" w:eastAsia="Times New Roman" w:hAnsi="Times New Roman"/>
          <w:sz w:val="20"/>
          <w:szCs w:val="20"/>
          <w:color w:val="auto"/>
        </w:rPr>
        <w:t>Item 9B.</w:t>
        <w:tab/>
        <w:t>Other Information . . . . . . . . . . . . . . . . . . . . . . . . . . . . . . . . . . . . . . . . . . . . . . . . . . . . . . . . . . . . . . . . . . . . . . . . . . . . . . . . .</w:t>
        <w:tab/>
        <w:t>120</w:t>
      </w:r>
    </w:p>
    <w:p>
      <w:pPr>
        <w:spacing w:after="0"/>
        <w:tabs>
          <w:tab w:leader="none" w:pos="980" w:val="left"/>
          <w:tab w:leader="none" w:pos="1048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 . . . . . . . . . . . . . . . . . . . . . . . . . . . . . . . . . . . . . . . .</w:t>
        <w:tab/>
        <w:t>120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4" w:lineRule="exact"/>
        <w:rPr>
          <w:sz w:val="20"/>
          <w:szCs w:val="20"/>
          <w:color w:val="auto"/>
        </w:rPr>
      </w:pPr>
    </w:p>
    <w:p>
      <w:pPr>
        <w:spacing w:after="0"/>
        <w:tabs>
          <w:tab w:leader="none" w:pos="980" w:val="left"/>
          <w:tab w:leader="none" w:pos="1048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 . . . . . . . . . . . . . . . . . . . . . . . .</w:t>
        <w:tab/>
        <w:t>121</w:t>
      </w:r>
    </w:p>
    <w:p>
      <w:pPr>
        <w:spacing w:after="0" w:line="27" w:lineRule="exact"/>
        <w:rPr>
          <w:sz w:val="20"/>
          <w:szCs w:val="20"/>
          <w:color w:val="auto"/>
        </w:rPr>
      </w:pPr>
    </w:p>
    <w:p>
      <w:pPr>
        <w:spacing w:after="0"/>
        <w:tabs>
          <w:tab w:leader="none" w:pos="980" w:val="left"/>
          <w:tab w:leader="none" w:pos="1048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 . . . . . . . . . . . . . . . . . . . . . . . . .</w:t>
        <w:tab/>
        <w:t>121</w:t>
      </w:r>
    </w:p>
    <w:p>
      <w:pPr>
        <w:spacing w:after="0"/>
        <w:tabs>
          <w:tab w:leader="none" w:pos="980" w:val="left"/>
          <w:tab w:leader="none" w:pos="1048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 Stockholder Matters . . . . . . . . . . . .</w:t>
        <w:tab/>
        <w:t>121</w:t>
      </w:r>
    </w:p>
    <w:p>
      <w:pPr>
        <w:spacing w:after="0"/>
        <w:tabs>
          <w:tab w:leader="none" w:pos="980" w:val="left"/>
          <w:tab w:leader="none" w:pos="1048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 . . . . . . . . . . . . . . . . . . . . . . .</w:t>
        <w:tab/>
        <w:t>121</w:t>
      </w:r>
    </w:p>
    <w:p>
      <w:pPr>
        <w:spacing w:after="0"/>
        <w:tabs>
          <w:tab w:leader="none" w:pos="980" w:val="left"/>
          <w:tab w:leader="none" w:pos="1048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Accounting Fees and Services . . . . . . . . . . . . . . . . . . . . . . . . . . . . . . . . . . . . . . . . . . . . . . . . . . . . . . . . . . . . . . .</w:t>
        <w:tab/>
        <w:t>121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4" w:lineRule="exact"/>
        <w:rPr>
          <w:sz w:val="20"/>
          <w:szCs w:val="20"/>
          <w:color w:val="auto"/>
        </w:rPr>
      </w:pPr>
    </w:p>
    <w:p>
      <w:pPr>
        <w:spacing w:after="0"/>
        <w:tabs>
          <w:tab w:leader="none" w:pos="980" w:val="left"/>
          <w:tab w:leader="none" w:pos="1048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 . . . . . . . . . . . . . . . . . . . . . . . . . . . . . . . . . . . . . . . . . . . . . . . . . . . . . . . . . . . .</w:t>
        <w:tab/>
        <w:t>122</w:t>
      </w:r>
    </w:p>
    <w:p>
      <w:pPr>
        <w:spacing w:after="0" w:line="28" w:lineRule="exact"/>
        <w:rPr>
          <w:sz w:val="20"/>
          <w:szCs w:val="20"/>
          <w:color w:val="auto"/>
        </w:rPr>
      </w:pPr>
    </w:p>
    <w:p>
      <w:pPr>
        <w:spacing w:after="0"/>
        <w:tabs>
          <w:tab w:leader="none" w:pos="980" w:val="left"/>
          <w:tab w:leader="none" w:pos="1048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 . . . . . . . . . . . . . . . . . . . . . . . . . . . . . . . . . . . . . . . . . . . . . . . . . . . . . . . . . . . . . . . . . . . . . . . . . . . . . .</w:t>
        <w:tab/>
        <w:t>122</w:t>
      </w:r>
    </w:p>
    <w:p>
      <w:pPr>
        <w:spacing w:after="0" w:line="20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20"/>
          <w:szCs w:val="20"/>
          <w:color w:val="auto"/>
        </w:rPr>
        <w:t>Exhibit Index . .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123</w:t>
      </w:r>
    </w:p>
    <w:p>
      <w:pPr>
        <w:spacing w:after="0" w:line="230"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 . . . . . . . . . . . . . . . . . . . . . . . . . . . . . . . . . . . .</w:t>
        <w:tab/>
        <w:t>127</w:t>
      </w:r>
    </w:p>
    <w:p>
      <w:pPr>
        <w:sectPr>
          <w:pgSz w:w="11880" w:h="15480" w:orient="portrait"/>
          <w:cols w:equalWidth="0" w:num="1">
            <w:col w:w="10800"/>
          </w:cols>
          <w:pgMar w:left="540" w:top="1345" w:right="5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3" w:lineRule="exact"/>
        <w:rPr>
          <w:sz w:val="20"/>
          <w:szCs w:val="20"/>
          <w:color w:val="auto"/>
        </w:rPr>
      </w:pPr>
    </w:p>
    <w:p>
      <w:pPr>
        <w:ind w:right="20" w:firstLine="360"/>
        <w:spacing w:after="0" w:line="246" w:lineRule="auto"/>
        <w:rPr>
          <w:sz w:val="20"/>
          <w:szCs w:val="20"/>
          <w:color w:val="auto"/>
        </w:rPr>
      </w:pPr>
      <w:r>
        <w:rPr>
          <w:rFonts w:ascii="Times New Roman" w:cs="Times New Roman" w:eastAsia="Times New Roman" w:hAnsi="Times New Roman"/>
          <w:sz w:val="20"/>
          <w:szCs w:val="20"/>
          <w:color w:val="auto"/>
        </w:rPr>
        <w:t>This Annual Report on Form 10-K (this “Report”) contains certain statements that are “forward-looking statements” within the meaning of the Private Securities Litigation Reform Act of 1995 (the “Reform Act”). All statements other than statements of historical facts contained in this Report,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200"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These forward-looking statements are subject to numerous risks, including, without limitation, the following:</w:t>
      </w:r>
    </w:p>
    <w:p>
      <w:pPr>
        <w:spacing w:after="0" w:line="216" w:lineRule="exact"/>
        <w:rPr>
          <w:sz w:val="20"/>
          <w:szCs w:val="20"/>
          <w:color w:val="auto"/>
        </w:rPr>
      </w:pPr>
    </w:p>
    <w:p>
      <w:pPr>
        <w:ind w:left="720" w:hanging="360"/>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projected financial information, anticipated growth rate and market opportunities of AEON Biopharma, Inc. (“AEON”);</w:t>
      </w:r>
    </w:p>
    <w:p>
      <w:pPr>
        <w:spacing w:after="0" w:line="119" w:lineRule="exact"/>
        <w:rPr>
          <w:rFonts w:ascii="Symbol" w:cs="Symbol" w:eastAsia="Symbol" w:hAnsi="Symbol"/>
          <w:sz w:val="20"/>
          <w:szCs w:val="20"/>
          <w:color w:val="auto"/>
        </w:rPr>
      </w:pPr>
    </w:p>
    <w:p>
      <w:pPr>
        <w:ind w:left="720" w:hanging="360"/>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the ability to maintain the listing of Class A common stock on NYSE American LLC (“NYSE American”);</w:t>
      </w:r>
    </w:p>
    <w:p>
      <w:pPr>
        <w:spacing w:after="0" w:line="118" w:lineRule="exact"/>
        <w:rPr>
          <w:rFonts w:ascii="Symbol" w:cs="Symbol" w:eastAsia="Symbol" w:hAnsi="Symbol"/>
          <w:sz w:val="20"/>
          <w:szCs w:val="20"/>
          <w:color w:val="auto"/>
        </w:rPr>
      </w:pPr>
    </w:p>
    <w:p>
      <w:pPr>
        <w:ind w:left="720" w:hanging="360"/>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AEON’s public securities’ potential liquidity and trading;</w:t>
      </w:r>
    </w:p>
    <w:p>
      <w:pPr>
        <w:spacing w:after="0" w:line="119" w:lineRule="exact"/>
        <w:rPr>
          <w:rFonts w:ascii="Symbol" w:cs="Symbol" w:eastAsia="Symbol" w:hAnsi="Symbol"/>
          <w:sz w:val="20"/>
          <w:szCs w:val="20"/>
          <w:color w:val="auto"/>
        </w:rPr>
      </w:pPr>
    </w:p>
    <w:p>
      <w:pPr>
        <w:ind w:left="720" w:hanging="360"/>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AEON’s ability to raise financing in the future and to continue as a going concern;</w:t>
      </w:r>
    </w:p>
    <w:p>
      <w:pPr>
        <w:spacing w:after="0" w:line="119" w:lineRule="exact"/>
        <w:rPr>
          <w:rFonts w:ascii="Symbol" w:cs="Symbol" w:eastAsia="Symbol" w:hAnsi="Symbol"/>
          <w:sz w:val="20"/>
          <w:szCs w:val="20"/>
          <w:color w:val="auto"/>
        </w:rPr>
      </w:pPr>
    </w:p>
    <w:p>
      <w:pPr>
        <w:ind w:left="720" w:hanging="360"/>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AEON’s success in retaining or recruiting, or changes required in, officers, key employees, scientific personnel or directors;</w:t>
      </w:r>
    </w:p>
    <w:p>
      <w:pPr>
        <w:spacing w:after="0" w:line="118" w:lineRule="exact"/>
        <w:rPr>
          <w:rFonts w:ascii="Symbol" w:cs="Symbol" w:eastAsia="Symbol" w:hAnsi="Symbol"/>
          <w:sz w:val="20"/>
          <w:szCs w:val="20"/>
          <w:color w:val="auto"/>
        </w:rPr>
      </w:pPr>
    </w:p>
    <w:p>
      <w:pPr>
        <w:ind w:left="720" w:hanging="360"/>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factors relating to the business, operations and financial performance of AEON;</w:t>
      </w:r>
    </w:p>
    <w:p>
      <w:pPr>
        <w:spacing w:after="0" w:line="118" w:lineRule="exact"/>
        <w:rPr>
          <w:rFonts w:ascii="Symbol" w:cs="Symbol" w:eastAsia="Symbol" w:hAnsi="Symbol"/>
          <w:sz w:val="20"/>
          <w:szCs w:val="20"/>
          <w:color w:val="auto"/>
        </w:rPr>
      </w:pPr>
    </w:p>
    <w:p>
      <w:pPr>
        <w:ind w:left="720" w:right="340" w:hanging="360"/>
        <w:spacing w:after="0" w:line="262" w:lineRule="auto"/>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initiation, cost, timing, progress and results of research and development activities, preclinical studies or clinical trials with respect to AEON’s current and potential future product candidates;</w:t>
      </w:r>
    </w:p>
    <w:p>
      <w:pPr>
        <w:spacing w:after="0" w:line="76" w:lineRule="exact"/>
        <w:rPr>
          <w:rFonts w:ascii="Symbol" w:cs="Symbol" w:eastAsia="Symbol" w:hAnsi="Symbol"/>
          <w:sz w:val="20"/>
          <w:szCs w:val="20"/>
          <w:color w:val="auto"/>
        </w:rPr>
      </w:pPr>
    </w:p>
    <w:p>
      <w:pPr>
        <w:ind w:left="720" w:right="500" w:hanging="360"/>
        <w:spacing w:after="0" w:line="263" w:lineRule="auto"/>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AEON’s ability to identify, develop and commercialize its main product candidate, botulinum toxin complex, ABP- 450 (prabotulinumtoxinA) injection (“ABP-450”);</w:t>
      </w:r>
    </w:p>
    <w:p>
      <w:pPr>
        <w:spacing w:after="0" w:line="73" w:lineRule="exact"/>
        <w:rPr>
          <w:rFonts w:ascii="Symbol" w:cs="Symbol" w:eastAsia="Symbol" w:hAnsi="Symbol"/>
          <w:sz w:val="20"/>
          <w:szCs w:val="20"/>
          <w:color w:val="auto"/>
        </w:rPr>
      </w:pPr>
    </w:p>
    <w:p>
      <w:pPr>
        <w:ind w:left="720" w:hanging="360"/>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AEON’s ability to obtain approval of a Biologics License Application (“BLA”) for therapeutic uses of ABP-450;</w:t>
      </w:r>
    </w:p>
    <w:p>
      <w:pPr>
        <w:spacing w:after="0" w:line="118" w:lineRule="exact"/>
        <w:rPr>
          <w:rFonts w:ascii="Symbol" w:cs="Symbol" w:eastAsia="Symbol" w:hAnsi="Symbol"/>
          <w:sz w:val="20"/>
          <w:szCs w:val="20"/>
          <w:color w:val="auto"/>
        </w:rPr>
      </w:pPr>
    </w:p>
    <w:p>
      <w:pPr>
        <w:ind w:left="720" w:right="380" w:hanging="360"/>
        <w:spacing w:after="0" w:line="262" w:lineRule="auto"/>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AEON’s ability to advance its current and potential future product candidates into, and successfully complete, preclinical studies and clinical trials;</w:t>
      </w:r>
    </w:p>
    <w:p>
      <w:pPr>
        <w:spacing w:after="0" w:line="76" w:lineRule="exact"/>
        <w:rPr>
          <w:rFonts w:ascii="Symbol" w:cs="Symbol" w:eastAsia="Symbol" w:hAnsi="Symbol"/>
          <w:sz w:val="20"/>
          <w:szCs w:val="20"/>
          <w:color w:val="auto"/>
        </w:rPr>
      </w:pPr>
    </w:p>
    <w:p>
      <w:pPr>
        <w:ind w:left="720" w:right="380" w:hanging="360"/>
        <w:spacing w:after="0" w:line="262" w:lineRule="auto"/>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AEON’s ability to obtain and maintain regulatory approval of its current and potential future product candidates, and any related restrictions, limitations and/or warnings in the label of an approved product candidate;</w:t>
      </w:r>
    </w:p>
    <w:p>
      <w:pPr>
        <w:spacing w:after="0" w:line="75" w:lineRule="exact"/>
        <w:rPr>
          <w:rFonts w:ascii="Symbol" w:cs="Symbol" w:eastAsia="Symbol" w:hAnsi="Symbol"/>
          <w:sz w:val="20"/>
          <w:szCs w:val="20"/>
          <w:color w:val="auto"/>
        </w:rPr>
      </w:pPr>
    </w:p>
    <w:p>
      <w:pPr>
        <w:ind w:left="720" w:hanging="360"/>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AEON’s ability to obtain and maintain intellectual property protection for its technologies and any of its product candidates;</w:t>
      </w:r>
    </w:p>
    <w:p>
      <w:pPr>
        <w:spacing w:after="0" w:line="119" w:lineRule="exact"/>
        <w:rPr>
          <w:rFonts w:ascii="Symbol" w:cs="Symbol" w:eastAsia="Symbol" w:hAnsi="Symbol"/>
          <w:sz w:val="20"/>
          <w:szCs w:val="20"/>
          <w:color w:val="auto"/>
        </w:rPr>
      </w:pPr>
    </w:p>
    <w:p>
      <w:pPr>
        <w:ind w:left="720" w:hanging="360"/>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AEON’s ability to successfully commercialize its current and any potential future product candidates;</w:t>
      </w:r>
    </w:p>
    <w:p>
      <w:pPr>
        <w:spacing w:after="0" w:line="119" w:lineRule="exact"/>
        <w:rPr>
          <w:rFonts w:ascii="Symbol" w:cs="Symbol" w:eastAsia="Symbol" w:hAnsi="Symbol"/>
          <w:sz w:val="20"/>
          <w:szCs w:val="20"/>
          <w:color w:val="auto"/>
        </w:rPr>
      </w:pPr>
    </w:p>
    <w:p>
      <w:pPr>
        <w:ind w:left="720" w:hanging="360"/>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the rate and degree of market acceptance of AEON’s current and any potential future product candidates;</w:t>
      </w:r>
    </w:p>
    <w:p>
      <w:pPr>
        <w:spacing w:after="0" w:line="118" w:lineRule="exact"/>
        <w:rPr>
          <w:rFonts w:ascii="Symbol" w:cs="Symbol" w:eastAsia="Symbol" w:hAnsi="Symbol"/>
          <w:sz w:val="20"/>
          <w:szCs w:val="20"/>
          <w:color w:val="auto"/>
        </w:rPr>
      </w:pPr>
    </w:p>
    <w:p>
      <w:pPr>
        <w:ind w:left="720" w:hanging="360"/>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developments in the United States and international jurisdictions;</w:t>
      </w:r>
    </w:p>
    <w:p>
      <w:pPr>
        <w:spacing w:after="0" w:line="118" w:lineRule="exact"/>
        <w:rPr>
          <w:rFonts w:ascii="Symbol" w:cs="Symbol" w:eastAsia="Symbol" w:hAnsi="Symbol"/>
          <w:sz w:val="20"/>
          <w:szCs w:val="20"/>
          <w:color w:val="auto"/>
        </w:rPr>
      </w:pPr>
    </w:p>
    <w:p>
      <w:pPr>
        <w:ind w:left="720" w:right="820" w:hanging="360"/>
        <w:spacing w:after="0" w:line="262" w:lineRule="auto"/>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 liability, lawsuits and penalties related to AEON’s technologies, product candidates and current and future relationships with third parties;</w:t>
      </w:r>
    </w:p>
    <w:p>
      <w:pPr>
        <w:spacing w:after="0" w:line="76" w:lineRule="exact"/>
        <w:rPr>
          <w:rFonts w:ascii="Symbol" w:cs="Symbol" w:eastAsia="Symbol" w:hAnsi="Symbol"/>
          <w:sz w:val="20"/>
          <w:szCs w:val="20"/>
          <w:color w:val="auto"/>
        </w:rPr>
      </w:pPr>
    </w:p>
    <w:p>
      <w:pPr>
        <w:ind w:left="720" w:hanging="360"/>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AEON’s ability to effectively manage the growth of its operations;</w:t>
      </w:r>
    </w:p>
    <w:p>
      <w:pPr>
        <w:sectPr>
          <w:pgSz w:w="11880" w:h="15480" w:orient="portrait"/>
          <w:cols w:equalWidth="0" w:num="1">
            <w:col w:w="10800"/>
          </w:cols>
          <w:pgMar w:left="540" w:top="1347" w:right="540" w:bottom="1440" w:gutter="0" w:footer="0" w:header="0"/>
        </w:sectPr>
      </w:pPr>
    </w:p>
    <w:bookmarkStart w:id="3" w:name="page4"/>
    <w:bookmarkEnd w:id="3"/>
    <w:p>
      <w:pPr>
        <w:ind w:left="720" w:right="120" w:hanging="360"/>
        <w:spacing w:after="0" w:line="251" w:lineRule="auto"/>
        <w:tabs>
          <w:tab w:leader="none" w:pos="72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AEON’s ability to contract with third-party suppliers and manufacturers and their ability to perform adequately under those arrangements, particularly its license and supply agreement with Daewoong Pharmaceutical Co., LTD. (“Daewoong”) (the “Daewoong Agreement”);</w:t>
      </w:r>
    </w:p>
    <w:p>
      <w:pPr>
        <w:spacing w:after="0" w:line="88" w:lineRule="exact"/>
        <w:rPr>
          <w:rFonts w:ascii="Symbol" w:cs="Symbol" w:eastAsia="Symbol" w:hAnsi="Symbol"/>
          <w:sz w:val="20"/>
          <w:szCs w:val="20"/>
          <w:color w:val="auto"/>
        </w:rPr>
      </w:pPr>
    </w:p>
    <w:p>
      <w:pPr>
        <w:ind w:left="720" w:hanging="360"/>
        <w:spacing w:after="0"/>
        <w:tabs>
          <w:tab w:leader="none" w:pos="72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anticipated Biosimilar Biological Product Development (“BPD”) meetings with the FDA;</w:t>
      </w:r>
    </w:p>
    <w:p>
      <w:pPr>
        <w:spacing w:after="0" w:line="118" w:lineRule="exact"/>
        <w:rPr>
          <w:rFonts w:ascii="Symbol" w:cs="Symbol" w:eastAsia="Symbol" w:hAnsi="Symbol"/>
          <w:sz w:val="20"/>
          <w:szCs w:val="20"/>
          <w:color w:val="auto"/>
        </w:rPr>
      </w:pPr>
    </w:p>
    <w:p>
      <w:pPr>
        <w:ind w:left="720" w:hanging="360"/>
        <w:spacing w:after="0"/>
        <w:tabs>
          <w:tab w:leader="none" w:pos="72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anticipated results from our analytical studies;</w:t>
      </w:r>
    </w:p>
    <w:p>
      <w:pPr>
        <w:spacing w:after="0" w:line="119" w:lineRule="exact"/>
        <w:rPr>
          <w:rFonts w:ascii="Symbol" w:cs="Symbol" w:eastAsia="Symbol" w:hAnsi="Symbol"/>
          <w:sz w:val="20"/>
          <w:szCs w:val="20"/>
          <w:color w:val="auto"/>
        </w:rPr>
      </w:pPr>
    </w:p>
    <w:p>
      <w:pPr>
        <w:ind w:left="720" w:hanging="360"/>
        <w:spacing w:after="0"/>
        <w:tabs>
          <w:tab w:leader="none" w:pos="72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AEON’s ability to compete effectively with existing competitors and new market entrants;</w:t>
      </w:r>
    </w:p>
    <w:p>
      <w:pPr>
        <w:spacing w:after="0" w:line="118" w:lineRule="exact"/>
        <w:rPr>
          <w:rFonts w:ascii="Symbol" w:cs="Symbol" w:eastAsia="Symbol" w:hAnsi="Symbol"/>
          <w:sz w:val="20"/>
          <w:szCs w:val="20"/>
          <w:color w:val="auto"/>
        </w:rPr>
      </w:pPr>
    </w:p>
    <w:p>
      <w:pPr>
        <w:ind w:left="720" w:hanging="360"/>
        <w:spacing w:after="0"/>
        <w:tabs>
          <w:tab w:leader="none" w:pos="72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 effects of extensive government regulation;</w:t>
      </w:r>
    </w:p>
    <w:p>
      <w:pPr>
        <w:spacing w:after="0" w:line="119" w:lineRule="exact"/>
        <w:rPr>
          <w:rFonts w:ascii="Symbol" w:cs="Symbol" w:eastAsia="Symbol" w:hAnsi="Symbol"/>
          <w:sz w:val="20"/>
          <w:szCs w:val="20"/>
          <w:color w:val="auto"/>
        </w:rPr>
      </w:pPr>
    </w:p>
    <w:p>
      <w:pPr>
        <w:ind w:left="720" w:hanging="360"/>
        <w:spacing w:after="0"/>
        <w:tabs>
          <w:tab w:leader="none" w:pos="72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AEON’s future financial performance and capital requirements;</w:t>
      </w:r>
    </w:p>
    <w:p>
      <w:pPr>
        <w:spacing w:after="0" w:line="119" w:lineRule="exact"/>
        <w:rPr>
          <w:rFonts w:ascii="Symbol" w:cs="Symbol" w:eastAsia="Symbol" w:hAnsi="Symbol"/>
          <w:sz w:val="20"/>
          <w:szCs w:val="20"/>
          <w:color w:val="auto"/>
        </w:rPr>
      </w:pPr>
    </w:p>
    <w:p>
      <w:pPr>
        <w:ind w:left="720" w:hanging="360"/>
        <w:spacing w:after="0"/>
        <w:tabs>
          <w:tab w:leader="none" w:pos="72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AEON’s ability to implement and maintain effective internal controls;</w:t>
      </w:r>
    </w:p>
    <w:p>
      <w:pPr>
        <w:spacing w:after="0" w:line="118" w:lineRule="exact"/>
        <w:rPr>
          <w:rFonts w:ascii="Symbol" w:cs="Symbol" w:eastAsia="Symbol" w:hAnsi="Symbol"/>
          <w:sz w:val="20"/>
          <w:szCs w:val="20"/>
          <w:color w:val="auto"/>
        </w:rPr>
      </w:pPr>
    </w:p>
    <w:p>
      <w:pPr>
        <w:ind w:left="720" w:hanging="360"/>
        <w:spacing w:after="0"/>
        <w:tabs>
          <w:tab w:leader="none" w:pos="72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the impact of supply chain disruptions; and</w:t>
      </w:r>
    </w:p>
    <w:p>
      <w:pPr>
        <w:spacing w:after="0" w:line="118" w:lineRule="exact"/>
        <w:rPr>
          <w:rFonts w:ascii="Symbol" w:cs="Symbol" w:eastAsia="Symbol" w:hAnsi="Symbol"/>
          <w:sz w:val="20"/>
          <w:szCs w:val="20"/>
          <w:color w:val="auto"/>
        </w:rPr>
      </w:pPr>
    </w:p>
    <w:p>
      <w:pPr>
        <w:ind w:left="720" w:right="240" w:hanging="360"/>
        <w:spacing w:after="0" w:line="290" w:lineRule="auto"/>
        <w:tabs>
          <w:tab w:leader="none" w:pos="720" w:val="left"/>
        </w:tabs>
        <w:numPr>
          <w:ilvl w:val="0"/>
          <w:numId w:val="4"/>
        </w:numPr>
        <w:rPr>
          <w:rFonts w:ascii="Symbol" w:cs="Symbol" w:eastAsia="Symbol" w:hAnsi="Symbol"/>
          <w:sz w:val="19"/>
          <w:szCs w:val="19"/>
          <w:color w:val="auto"/>
        </w:rPr>
      </w:pPr>
      <w:r>
        <w:rPr>
          <w:rFonts w:ascii="Times New Roman" w:cs="Times New Roman" w:eastAsia="Times New Roman" w:hAnsi="Times New Roman"/>
          <w:sz w:val="19"/>
          <w:szCs w:val="19"/>
          <w:color w:val="auto"/>
        </w:rPr>
        <w:t>the impact of macroeconomic developments beyond our control, such as health epidemics or pandemics, macro- economic uncertainties, tariffs, social unrest, hostilities, natural disasters or other catastrophic events, on AEON’s business.</w:t>
      </w:r>
    </w:p>
    <w:p>
      <w:pPr>
        <w:spacing w:after="0" w:line="156"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The preceding list is not intended to be an exhaustive list of all of our forward-looking statements. We have based these forward- 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Report, may cause our actual results, performance or achievements to differ materially from any future results, performance or achievements expressed or implied by these forward-looking statements. Given these risks and uncertainties, you are cautioned not to place undue reliance on such forward-looking statements. The forward-looking statements included elsewhere in this Report are not guarantees of future performance and our actual results of operations, financial condition and liquidity, and the development of the industry in which we operate, may differ materially from the forward-looking statements included elsewhere in this Report. In addition, even if our results of operations, financial condition and liquidity, and events in the industry in which we operate, are consistent with the forward-looking statements included elsewhere in this Report, they may not be predictive of results or developments in future periods.</w:t>
      </w:r>
    </w:p>
    <w:p>
      <w:pPr>
        <w:spacing w:after="0" w:line="206"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20"/>
          <w:szCs w:val="20"/>
          <w:color w:val="auto"/>
        </w:rPr>
        <w:t>Any forward-looking statement that we make in this Report speaks only as of the date of such statement. Except as required by law, we do not undertake any obligation to update or revise, or to publicly announce any update or revision to, any of the forward- looking statements, whether as a result of new information, future events or otherwise, after the date of this Report. For all of our forward-looking statements, we claim the protection of the safe harbor for forward-looking statements contained in the Reform Act.</w:t>
      </w:r>
    </w:p>
    <w:p>
      <w:pPr>
        <w:spacing w:after="0" w:line="200" w:lineRule="exact"/>
        <w:rPr>
          <w:sz w:val="20"/>
          <w:szCs w:val="20"/>
          <w:color w:val="auto"/>
        </w:rPr>
      </w:pPr>
    </w:p>
    <w:p>
      <w:pPr>
        <w:spacing w:after="0" w:line="231" w:lineRule="exact"/>
        <w:rPr>
          <w:sz w:val="20"/>
          <w:szCs w:val="20"/>
          <w:color w:val="auto"/>
        </w:rPr>
      </w:pPr>
    </w:p>
    <w:p>
      <w:pPr>
        <w:ind w:right="40" w:firstLine="360"/>
        <w:spacing w:after="0" w:line="305" w:lineRule="auto"/>
        <w:rPr>
          <w:sz w:val="20"/>
          <w:szCs w:val="20"/>
          <w:color w:val="auto"/>
        </w:rPr>
      </w:pPr>
      <w:r>
        <w:rPr>
          <w:rFonts w:ascii="Times New Roman" w:cs="Times New Roman" w:eastAsia="Times New Roman" w:hAnsi="Times New Roman"/>
          <w:sz w:val="19"/>
          <w:szCs w:val="19"/>
          <w:color w:val="auto"/>
        </w:rPr>
        <w:t>As used in this Report, unless otherwise stated or the context otherwise requires: “we,” “us,” “our,” “AEON,” the “Company,” and similar references refer to AEON Biopharma, Inc. and its subsidiaries, and “common stock” refers to our Class A common stock.</w:t>
      </w:r>
    </w:p>
    <w:p>
      <w:pPr>
        <w:sectPr>
          <w:pgSz w:w="11880" w:h="15480" w:orient="portrait"/>
          <w:cols w:equalWidth="0" w:num="1">
            <w:col w:w="10720"/>
          </w:cols>
          <w:pgMar w:left="540" w:top="1364" w:right="62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43"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20"/>
          <w:szCs w:val="20"/>
          <w:color w:val="auto"/>
        </w:rPr>
        <w:t>Our business is subject to numerous risks and uncertainties, including those described in the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section of this Annual Report. You should carefully consider these risks and uncertainties when investing in our common stock. Some of the principal risks and uncertainties include the following:</w:t>
      </w:r>
    </w:p>
    <w:p>
      <w:pPr>
        <w:spacing w:after="0" w:line="200" w:lineRule="exact"/>
        <w:rPr>
          <w:sz w:val="20"/>
          <w:szCs w:val="20"/>
          <w:color w:val="auto"/>
        </w:rPr>
      </w:pPr>
    </w:p>
    <w:p>
      <w:pPr>
        <w:ind w:left="720" w:right="180" w:hanging="360"/>
        <w:spacing w:after="0" w:line="247" w:lineRule="auto"/>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Our management has concluded that uncertainties around our ability to raise additional capital raise substantial doubt about our ability to continue as a going concern. We will require additional financing to fund our future operations. Any failure to obtain additional capital when needed on acceptable terms, or at all, could force us to delay, limit, reduce or terminate our operations.</w:t>
      </w:r>
    </w:p>
    <w:p>
      <w:pPr>
        <w:spacing w:after="0" w:line="91" w:lineRule="exact"/>
        <w:rPr>
          <w:rFonts w:ascii="Symbol" w:cs="Symbol" w:eastAsia="Symbol" w:hAnsi="Symbol"/>
          <w:sz w:val="20"/>
          <w:szCs w:val="20"/>
          <w:color w:val="auto"/>
        </w:rPr>
      </w:pPr>
    </w:p>
    <w:p>
      <w:pPr>
        <w:ind w:left="720" w:right="100" w:hanging="360"/>
        <w:spacing w:after="0" w:line="251" w:lineRule="auto"/>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Our future success currently depends entirely on the successful and timely regulatory approval and commercialization of our only product candidate, ABP-450. The development and commercialization of pharmaceutical products is subject to extensive regulation, and we may not obtain regulatory approvals for ABP-450 on a timely basis or at all.</w:t>
      </w:r>
    </w:p>
    <w:p>
      <w:pPr>
        <w:spacing w:after="0" w:line="87" w:lineRule="exact"/>
        <w:rPr>
          <w:rFonts w:ascii="Symbol" w:cs="Symbol" w:eastAsia="Symbol" w:hAnsi="Symbol"/>
          <w:sz w:val="20"/>
          <w:szCs w:val="20"/>
          <w:color w:val="auto"/>
        </w:rPr>
      </w:pPr>
    </w:p>
    <w:p>
      <w:pPr>
        <w:ind w:left="720" w:right="540" w:hanging="360"/>
        <w:spacing w:after="0" w:line="262" w:lineRule="auto"/>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Clinical product development involves a lengthy, expensive and uncertain process. We may incur greater costs than we anticipate or encounter substantial delays or difficulties in our clinical studies.</w:t>
      </w:r>
    </w:p>
    <w:p>
      <w:pPr>
        <w:spacing w:after="0" w:line="76" w:lineRule="exact"/>
        <w:rPr>
          <w:rFonts w:ascii="Symbol" w:cs="Symbol" w:eastAsia="Symbol" w:hAnsi="Symbol"/>
          <w:sz w:val="20"/>
          <w:szCs w:val="20"/>
          <w:color w:val="auto"/>
        </w:rPr>
      </w:pPr>
    </w:p>
    <w:p>
      <w:pPr>
        <w:jc w:val="both"/>
        <w:ind w:left="720" w:right="60" w:hanging="360"/>
        <w:spacing w:after="0" w:line="250" w:lineRule="auto"/>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Even if ABP-450 receives regulatory approval for any of our proposed indications, it may fail to achieve the broad degree of market acceptance by physicians, patients, third-party payors and others in the medical community necessary for commercial success.</w:t>
      </w:r>
    </w:p>
    <w:p>
      <w:pPr>
        <w:spacing w:after="0" w:line="90" w:lineRule="exact"/>
        <w:rPr>
          <w:rFonts w:ascii="Symbol" w:cs="Symbol" w:eastAsia="Symbol" w:hAnsi="Symbol"/>
          <w:sz w:val="20"/>
          <w:szCs w:val="20"/>
          <w:color w:val="auto"/>
        </w:rPr>
      </w:pPr>
    </w:p>
    <w:p>
      <w:pPr>
        <w:ind w:left="720" w:hanging="360"/>
        <w:spacing w:after="0" w:line="262" w:lineRule="auto"/>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ABP-450, if approved, will face significant competition and our failure to effectively compete may prevent us from achieving significant market penetration and expansion.</w:t>
      </w:r>
    </w:p>
    <w:p>
      <w:pPr>
        <w:spacing w:after="0" w:line="75" w:lineRule="exact"/>
        <w:rPr>
          <w:rFonts w:ascii="Symbol" w:cs="Symbol" w:eastAsia="Symbol" w:hAnsi="Symbol"/>
          <w:sz w:val="20"/>
          <w:szCs w:val="20"/>
          <w:color w:val="auto"/>
        </w:rPr>
      </w:pPr>
    </w:p>
    <w:p>
      <w:pPr>
        <w:ind w:left="720" w:right="460" w:hanging="360"/>
        <w:spacing w:after="0" w:line="290" w:lineRule="auto"/>
        <w:tabs>
          <w:tab w:leader="none" w:pos="720" w:val="left"/>
        </w:tabs>
        <w:numPr>
          <w:ilvl w:val="0"/>
          <w:numId w:val="5"/>
        </w:numPr>
        <w:rPr>
          <w:rFonts w:ascii="Symbol" w:cs="Symbol" w:eastAsia="Symbol" w:hAnsi="Symbol"/>
          <w:sz w:val="19"/>
          <w:szCs w:val="19"/>
          <w:color w:val="auto"/>
        </w:rPr>
      </w:pPr>
      <w:r>
        <w:rPr>
          <w:rFonts w:ascii="Times New Roman" w:cs="Times New Roman" w:eastAsia="Times New Roman" w:hAnsi="Times New Roman"/>
          <w:sz w:val="19"/>
          <w:szCs w:val="19"/>
          <w:color w:val="auto"/>
        </w:rPr>
        <w:t>If we fail to attract and keep senior management and key scientific personnel, we may be unable to successfully develop ABP-450 in any of our proposed therapeutic indications, conduct our clinical studies and commercialize ABP-450.</w:t>
      </w:r>
    </w:p>
    <w:p>
      <w:pPr>
        <w:spacing w:after="0" w:line="48" w:lineRule="exact"/>
        <w:rPr>
          <w:rFonts w:ascii="Symbol" w:cs="Symbol" w:eastAsia="Symbol" w:hAnsi="Symbol"/>
          <w:sz w:val="19"/>
          <w:szCs w:val="19"/>
          <w:color w:val="auto"/>
        </w:rPr>
      </w:pPr>
    </w:p>
    <w:p>
      <w:pPr>
        <w:ind w:left="720" w:right="40" w:hanging="360"/>
        <w:spacing w:after="0" w:line="251" w:lineRule="auto"/>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We rely on the Daewoong Agreement to provide us with exclusive rights to commercialize and distribute ABP-450 in certain territories. Any termination or loss of significant rights, including exclusivity, under the Daewoong Agreement would materially and adversely affect our development or commercialization of ABP-450.</w:t>
      </w:r>
    </w:p>
    <w:p>
      <w:pPr>
        <w:spacing w:after="0" w:line="87" w:lineRule="exact"/>
        <w:rPr>
          <w:rFonts w:ascii="Symbol" w:cs="Symbol" w:eastAsia="Symbol" w:hAnsi="Symbol"/>
          <w:sz w:val="20"/>
          <w:szCs w:val="20"/>
          <w:color w:val="auto"/>
        </w:rPr>
      </w:pPr>
    </w:p>
    <w:p>
      <w:pPr>
        <w:ind w:left="720" w:right="180" w:hanging="360"/>
        <w:spacing w:after="0" w:line="247" w:lineRule="auto"/>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We currently rely solely on Daewoong to manufacture ABP-450, and as such, any production or other problems with Daewoong could adversely affect us. The manufacture of biologics is complex and Daewoong may encounter difficulties in production that may impact our ability to provide supply of ABP-450 for clinical studies, our ability to obtain marketing approval, or our ability to obtain commercial supply of our products, which, if approved, could be delayed or stopped.</w:t>
      </w:r>
    </w:p>
    <w:p>
      <w:pPr>
        <w:spacing w:after="0" w:line="92" w:lineRule="exact"/>
        <w:rPr>
          <w:rFonts w:ascii="Symbol" w:cs="Symbol" w:eastAsia="Symbol" w:hAnsi="Symbol"/>
          <w:sz w:val="20"/>
          <w:szCs w:val="20"/>
          <w:color w:val="auto"/>
        </w:rPr>
      </w:pPr>
    </w:p>
    <w:p>
      <w:pPr>
        <w:ind w:left="720" w:right="100" w:hanging="360"/>
        <w:spacing w:after="0" w:line="250" w:lineRule="auto"/>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Third-party claims of intellectual property infringement, misappropriation or violation, or challenges related to the invalidity or unenforceability of any issued patents we may obtain or in-license may prevent or delay our development and commercialization efforts or otherwise adversely affect our results of operations.</w:t>
      </w:r>
    </w:p>
    <w:p>
      <w:pPr>
        <w:spacing w:after="0" w:line="90" w:lineRule="exact"/>
        <w:rPr>
          <w:rFonts w:ascii="Symbol" w:cs="Symbol" w:eastAsia="Symbol" w:hAnsi="Symbol"/>
          <w:sz w:val="20"/>
          <w:szCs w:val="20"/>
          <w:color w:val="auto"/>
        </w:rPr>
      </w:pPr>
    </w:p>
    <w:p>
      <w:pPr>
        <w:ind w:left="720" w:hanging="360"/>
        <w:spacing w:after="0"/>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Our business and products are subject to extensive government regulation.</w:t>
      </w:r>
    </w:p>
    <w:p>
      <w:pPr>
        <w:spacing w:after="0" w:line="118" w:lineRule="exact"/>
        <w:rPr>
          <w:rFonts w:ascii="Symbol" w:cs="Symbol" w:eastAsia="Symbol" w:hAnsi="Symbol"/>
          <w:sz w:val="20"/>
          <w:szCs w:val="20"/>
          <w:color w:val="auto"/>
        </w:rPr>
      </w:pPr>
    </w:p>
    <w:p>
      <w:pPr>
        <w:ind w:left="720" w:hanging="360"/>
        <w:spacing w:after="0" w:line="251" w:lineRule="auto"/>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Legislative or regulatory healthcare reforms in the United States and other countries may make it more difficult and costly for us to obtain regulatory clearance or approval of ABP-450 and to produce, market, and distribute our products after clearance or approval is obtained.</w:t>
      </w:r>
    </w:p>
    <w:p>
      <w:pPr>
        <w:spacing w:after="0" w:line="87" w:lineRule="exact"/>
        <w:rPr>
          <w:rFonts w:ascii="Symbol" w:cs="Symbol" w:eastAsia="Symbol" w:hAnsi="Symbol"/>
          <w:sz w:val="20"/>
          <w:szCs w:val="20"/>
          <w:color w:val="auto"/>
        </w:rPr>
      </w:pPr>
    </w:p>
    <w:p>
      <w:pPr>
        <w:ind w:left="720" w:hanging="360"/>
        <w:spacing w:after="0"/>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price of our common stock may be volatile.</w:t>
      </w:r>
    </w:p>
    <w:p>
      <w:pPr>
        <w:spacing w:after="0" w:line="119" w:lineRule="exact"/>
        <w:rPr>
          <w:rFonts w:ascii="Symbol" w:cs="Symbol" w:eastAsia="Symbol" w:hAnsi="Symbol"/>
          <w:sz w:val="20"/>
          <w:szCs w:val="20"/>
          <w:color w:val="auto"/>
        </w:rPr>
      </w:pPr>
    </w:p>
    <w:p>
      <w:pPr>
        <w:ind w:left="720" w:right="260" w:hanging="360"/>
        <w:spacing w:after="0" w:line="262" w:lineRule="auto"/>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Sales of a substantial number of our securities in the public market by our existing securityholders could cause the price of our common stock and warrants to fall.</w:t>
      </w:r>
    </w:p>
    <w:p>
      <w:pPr>
        <w:spacing w:after="0" w:line="75" w:lineRule="exact"/>
        <w:rPr>
          <w:rFonts w:ascii="Symbol" w:cs="Symbol" w:eastAsia="Symbol" w:hAnsi="Symbol"/>
          <w:sz w:val="20"/>
          <w:szCs w:val="20"/>
          <w:color w:val="auto"/>
        </w:rPr>
      </w:pPr>
    </w:p>
    <w:p>
      <w:pPr>
        <w:ind w:left="720" w:right="260" w:hanging="360"/>
        <w:spacing w:after="0" w:line="250" w:lineRule="auto"/>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We will require additional capital, for which additional financing may result in restrictions on our operations or substantial dilution to our stockholders, to support the growth of our business, and this capital might not be available on acceptable terms, if at all.</w:t>
      </w:r>
    </w:p>
    <w:p>
      <w:pPr>
        <w:spacing w:after="0" w:line="90" w:lineRule="exact"/>
        <w:rPr>
          <w:rFonts w:ascii="Symbol" w:cs="Symbol" w:eastAsia="Symbol" w:hAnsi="Symbol"/>
          <w:sz w:val="20"/>
          <w:szCs w:val="20"/>
          <w:color w:val="auto"/>
        </w:rPr>
      </w:pPr>
    </w:p>
    <w:p>
      <w:pPr>
        <w:ind w:left="720" w:right="300" w:hanging="360"/>
        <w:spacing w:after="0" w:line="247" w:lineRule="auto"/>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fail to regain or maintain compliance with the continued listing requirements of the NYSE American, our common stock may be delisted, which could significantly reduce its liquidity, market visibility, and trading volume, increase price volatility, and negatively impact our ability to raise capital on favorable terms. Such a delisting could materially adversely affect the market price of our common stock and our overall financial condition.</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10800"/>
          </w:cols>
          <w:pgMar w:left="540" w:top="1347" w:right="5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4" w:lineRule="exact"/>
        <w:rPr>
          <w:sz w:val="20"/>
          <w:szCs w:val="20"/>
          <w:color w:val="auto"/>
        </w:rPr>
      </w:pPr>
    </w:p>
    <w:p>
      <w:pPr>
        <w:ind w:right="180" w:firstLine="360"/>
        <w:spacing w:after="0" w:line="305" w:lineRule="auto"/>
        <w:rPr>
          <w:sz w:val="20"/>
          <w:szCs w:val="20"/>
          <w:color w:val="auto"/>
        </w:rPr>
      </w:pPr>
      <w:r>
        <w:rPr>
          <w:rFonts w:ascii="Times New Roman" w:cs="Times New Roman" w:eastAsia="Times New Roman" w:hAnsi="Times New Roman"/>
          <w:sz w:val="19"/>
          <w:szCs w:val="19"/>
          <w:color w:val="auto"/>
        </w:rPr>
        <w:t>AEON is a biopharmaceutical company advancing its proprietary botulinum toxin complex ABP-450 as a biosimilar to Botox® (onabotulinumtoxinA) with the goal of achieving full-label United States (“U.S.”) market entry for debilitating medical conditions.</w:t>
      </w:r>
    </w:p>
    <w:p>
      <w:pPr>
        <w:spacing w:after="0" w:line="144"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On December 12, 2022, AEON Biopharma Sub, Inc. (formerly known as AEON Biopharma, Inc.) (“Old AEON”) and Priveterra Merger Sub, Inc., a wholly owned subsidiary of Priveterra Acquisition Corp. (“Priveterra”), a special purpose acquisition company formed for the purpose of effecting a merger, capital stock exchange, asset acquisition, stock purchase, reorganization, or other similar business combination with one or more target businesses, entered into a Business Combination and Merger Agreement (the “Business Combination Agreement” or “BCA”) dated December 12, 2022 and amended April 27, 2023.</w:t>
      </w:r>
    </w:p>
    <w:p>
      <w:pPr>
        <w:spacing w:after="0" w:line="197"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On July 21, 2023 (the “Closing Date”), the parties consummated the transactions contemplated by the BCA (collectively referred to as the “Merger” or “Business Combination”) in connection with the closing of the Merger (the “Closing”). On the Closing Date, Old AEON merged with Priveterra Merger Sub, Inc., with Old AEON surviving the merger as a wholly owned subsidiary of the Company; and the Company changed its name from “Priveterra Acquisition Corp.” to “AEON Biopharma, Inc.”; and Old AEON changed its name to AEON Biopharma Sub, Inc. The post-Merger Company is referred to herein as “AEON,” or the “Company.”</w:t>
      </w:r>
    </w:p>
    <w:p>
      <w:pPr>
        <w:spacing w:after="0" w:line="197" w:lineRule="exact"/>
        <w:rPr>
          <w:sz w:val="20"/>
          <w:szCs w:val="20"/>
          <w:color w:val="auto"/>
        </w:rPr>
      </w:pPr>
    </w:p>
    <w:p>
      <w:pPr>
        <w:ind w:right="720" w:firstLine="360"/>
        <w:spacing w:after="0" w:line="278" w:lineRule="auto"/>
        <w:rPr>
          <w:sz w:val="20"/>
          <w:szCs w:val="20"/>
          <w:color w:val="auto"/>
        </w:rPr>
      </w:pPr>
      <w:r>
        <w:rPr>
          <w:rFonts w:ascii="Times New Roman" w:cs="Times New Roman" w:eastAsia="Times New Roman" w:hAnsi="Times New Roman"/>
          <w:sz w:val="20"/>
          <w:szCs w:val="20"/>
          <w:color w:val="auto"/>
        </w:rPr>
        <w:t>Following the Closing, the Company’s common stock was listed on the NYSE American under the symbol “AEON” and commenced trading on July 24, 2023.</w:t>
      </w:r>
    </w:p>
    <w:p>
      <w:pPr>
        <w:spacing w:after="0" w:line="168" w:lineRule="exact"/>
        <w:rPr>
          <w:sz w:val="20"/>
          <w:szCs w:val="20"/>
          <w:color w:val="auto"/>
        </w:rPr>
      </w:pPr>
    </w:p>
    <w:p>
      <w:pPr>
        <w:ind w:right="80" w:firstLine="360"/>
        <w:spacing w:after="0" w:line="278" w:lineRule="auto"/>
        <w:rPr>
          <w:sz w:val="20"/>
          <w:szCs w:val="20"/>
          <w:color w:val="auto"/>
        </w:rPr>
      </w:pPr>
      <w:r>
        <w:rPr>
          <w:rFonts w:ascii="Times New Roman" w:cs="Times New Roman" w:eastAsia="Times New Roman" w:hAnsi="Times New Roman"/>
          <w:sz w:val="20"/>
          <w:szCs w:val="20"/>
          <w:color w:val="auto"/>
        </w:rPr>
        <w:t>Unless the context otherwise requires, references to “we”, “us”, “our” and “the Company” refer to the business and operations of AEON Biopharma, Inc. and its consolidated subsidiaries.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4" w:lineRule="exact"/>
        <w:rPr>
          <w:sz w:val="20"/>
          <w:szCs w:val="20"/>
          <w:color w:val="auto"/>
        </w:rPr>
      </w:pPr>
    </w:p>
    <w:p>
      <w:pPr>
        <w:ind w:right="80" w:firstLine="361"/>
        <w:spacing w:after="0" w:line="249" w:lineRule="auto"/>
        <w:rPr>
          <w:sz w:val="20"/>
          <w:szCs w:val="20"/>
          <w:color w:val="auto"/>
        </w:rPr>
      </w:pPr>
      <w:r>
        <w:rPr>
          <w:rFonts w:ascii="Times New Roman" w:cs="Times New Roman" w:eastAsia="Times New Roman" w:hAnsi="Times New Roman"/>
          <w:sz w:val="20"/>
          <w:szCs w:val="20"/>
          <w:color w:val="auto"/>
        </w:rPr>
        <w:t>We are a biopharmaceutical company focused on developing ABP-450 as a biosimilar to Botox® (onabotulinumtoxinA) for therapeutic indications. Our strategy is to pursue regulatory approval in the United States through a BLA, under Section 351(k) of the Public Health Service Act (“Section 351(k) BLA”). We hold exclusive development and commercialization rights for ABP-450 in therapeutic indications across the United States, Canada, the European Union, the United Kingdom, and certain other international territories.</w:t>
      </w:r>
    </w:p>
    <w:p>
      <w:pPr>
        <w:spacing w:after="0" w:line="197"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Building on this strategy, we are advancing ABP-450 through the 351(k) biosimilar pathway toward a potential Biologics License Application in the United States, targeting the therapeutic botulinum toxin market, which we estimate to be at least $3.3 billion in 2025, and is projected to grow at an annual growth rate of approximately 8%. This large and continually growing market has historically been dominated by a single branded product. ABP -450 is the same botulinum toxin complex that is currently approved as a biosimilar in Mexico, India and Philippines and, in the U.S., is approved to provide temporary improvement in the appearance of moderate to severe glabellar lines for certain adult patients and marketed by Evolus, Inc. under the name Jeuveau® in the U.S. and Nuceiva® in Canada and the European Union, and by Daewoong under the brand name Nabota® in select countries in Asia, Latin America, Middle East and Europe. We have exclusive development and distribution rights for therapeutic uses of ABP-450 in the U.S., Canada, the European Union, the United Kingdom, and certain other international territories. We have established a highly experienced management team with specific experience in biopharmaceutical and botulinum toxin development and commercialization.</w:t>
      </w:r>
    </w:p>
    <w:p>
      <w:pPr>
        <w:spacing w:after="0" w:line="209" w:lineRule="exact"/>
        <w:rPr>
          <w:sz w:val="20"/>
          <w:szCs w:val="20"/>
          <w:color w:val="auto"/>
        </w:rPr>
      </w:pPr>
    </w:p>
    <w:p>
      <w:pPr>
        <w:ind w:right="120" w:firstLine="360"/>
        <w:spacing w:after="0" w:line="247" w:lineRule="auto"/>
        <w:rPr>
          <w:sz w:val="20"/>
          <w:szCs w:val="20"/>
          <w:color w:val="auto"/>
        </w:rPr>
      </w:pPr>
      <w:r>
        <w:rPr>
          <w:rFonts w:ascii="Times New Roman" w:cs="Times New Roman" w:eastAsia="Times New Roman" w:hAnsi="Times New Roman"/>
          <w:sz w:val="20"/>
          <w:szCs w:val="20"/>
          <w:color w:val="auto"/>
        </w:rPr>
        <w:t>ABP-450 is manufactured by Daewoong Pharmaceutical Co., Ltd. in a facility designed to be compliant with current Good Manufacturing Practice (“cGMP”) that has manufactured products approved by the U.S. Food and Drug Administration, Health Canada, and the European Commission. The same botulinum toxin complex is commercially available in multiple international markets and is approved in the United States for aesthetic use under the brand name Jeuveau®. Our development program is focused exclusively on therapeutic indications, where we believe the biosimilar pathway may enable efficient development and broad label access, subject to regulatory review.</w:t>
      </w:r>
    </w:p>
    <w:p>
      <w:pPr>
        <w:spacing w:after="0" w:line="200" w:lineRule="exact"/>
        <w:rPr>
          <w:sz w:val="20"/>
          <w:szCs w:val="20"/>
          <w:color w:val="auto"/>
        </w:rPr>
      </w:pPr>
    </w:p>
    <w:p>
      <w:pPr>
        <w:ind w:right="100" w:firstLine="360"/>
        <w:spacing w:after="0" w:line="278" w:lineRule="auto"/>
        <w:rPr>
          <w:sz w:val="20"/>
          <w:szCs w:val="20"/>
          <w:color w:val="auto"/>
        </w:rPr>
      </w:pPr>
      <w:r>
        <w:rPr>
          <w:rFonts w:ascii="Times New Roman" w:cs="Times New Roman" w:eastAsia="Times New Roman" w:hAnsi="Times New Roman"/>
          <w:sz w:val="19"/>
          <w:szCs w:val="19"/>
          <w:color w:val="auto"/>
        </w:rPr>
        <w:t>The FDA approves biosimilar products under Section 351(k) of the Public Health Service Act, which requires developers to demonstrate that a proposed biosimilar product is highly similar to an approved reference biologic notwithstanding minor differences in clinically inactive components, with no clinically meaningful differences in safety, purity, or potency. A BLA submitted under</w:t>
      </w:r>
    </w:p>
    <w:p>
      <w:pPr>
        <w:sectPr>
          <w:pgSz w:w="11880" w:h="15480" w:orient="portrait"/>
          <w:cols w:equalWidth="0" w:num="1">
            <w:col w:w="10760"/>
          </w:cols>
          <w:pgMar w:left="540" w:top="1347" w:right="580"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760"/>
          </w:cols>
          <w:pgMar w:left="540" w:top="1347" w:right="580" w:bottom="0" w:gutter="0" w:footer="0" w:header="0"/>
          <w:type w:val="continuous"/>
        </w:sectPr>
      </w:pPr>
    </w:p>
    <w:bookmarkStart w:id="6" w:name="page7"/>
    <w:bookmarkEnd w:id="6"/>
    <w:p>
      <w:pPr>
        <w:ind w:right="200"/>
        <w:spacing w:after="0" w:line="249" w:lineRule="auto"/>
        <w:rPr>
          <w:sz w:val="20"/>
          <w:szCs w:val="20"/>
          <w:color w:val="auto"/>
        </w:rPr>
      </w:pPr>
      <w:r>
        <w:rPr>
          <w:rFonts w:ascii="Times New Roman" w:cs="Times New Roman" w:eastAsia="Times New Roman" w:hAnsi="Times New Roman"/>
          <w:sz w:val="20"/>
          <w:szCs w:val="20"/>
          <w:color w:val="auto"/>
        </w:rPr>
        <w:t>Section 351(k) Demonstration of biosimilarity general requires, among other things, data derived from analytical studies, an assessment of toxicity, and a clinical study or studies, unless the FDA determines any of these studies is not required. In practice, demonstrating comparative analytical similarity to the reference biologic is the scientific foundation of this process, representing the most critical and data-intensive phase of development. Once analytical comparability across key quality attributes is established, subsequent FDA interactions often focus on confirming whether any residual uncertainty requires further clinical assessment.</w:t>
      </w:r>
    </w:p>
    <w:p>
      <w:pPr>
        <w:spacing w:after="0" w:line="198" w:lineRule="exact"/>
        <w:rPr>
          <w:sz w:val="20"/>
          <w:szCs w:val="20"/>
          <w:color w:val="auto"/>
        </w:rPr>
      </w:pPr>
    </w:p>
    <w:p>
      <w:pPr>
        <w:ind w:right="100" w:firstLine="360"/>
        <w:spacing w:after="0" w:line="244" w:lineRule="auto"/>
        <w:rPr>
          <w:sz w:val="20"/>
          <w:szCs w:val="20"/>
          <w:color w:val="auto"/>
        </w:rPr>
      </w:pPr>
      <w:r>
        <w:rPr>
          <w:rFonts w:ascii="Times New Roman" w:cs="Times New Roman" w:eastAsia="Times New Roman" w:hAnsi="Times New Roman"/>
          <w:sz w:val="20"/>
          <w:szCs w:val="20"/>
          <w:color w:val="auto"/>
        </w:rPr>
        <w:t>We held an initial meeting with the FDA in the third quarter of 2024 during which we obtained feedback from the FDA on next steps to develop a Botox® biosimilar. We commenced analytical studies in the fourth quarter of 2024 to prepare for a BPD Type 2a meeting with the FDA that was held in January 2026. During the meeting, the FDA reviewed the Company’s proposed analytical similarity strategy under the 351(k) biosimilar pathway. The FDA acknowledged the scientific challenges associated with characterizing a 900 kDa botulinum neurotoxin complex, provided constructive feedback on our proposed development approach and analytical assessment plan, and noted that our analytical methodologies appeared reasonable to support advancement of the program toward a comprehensive analytical similarity package. We believe this feedback provides a clear framework for the remaining analytical components of its biosimilar development program and plans to complete the majority of its analytical comparability program in 2026. We are currently planning to request a BPD Type 2b meeting in 2026 to discuss the next phase of the development program to support approval of ABP-450 as a biosimilar to Botox® across all approved therapeutic indications.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initial results from our analytical studies demonstrated:</w:t>
      </w:r>
    </w:p>
    <w:p>
      <w:pPr>
        <w:spacing w:after="0" w:line="214" w:lineRule="exact"/>
        <w:rPr>
          <w:sz w:val="20"/>
          <w:szCs w:val="20"/>
          <w:color w:val="auto"/>
        </w:rPr>
      </w:pPr>
    </w:p>
    <w:p>
      <w:pPr>
        <w:ind w:left="1080" w:right="660" w:hanging="360"/>
        <w:spacing w:after="0" w:line="262" w:lineRule="auto"/>
        <w:tabs>
          <w:tab w:leader="none" w:pos="108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Primary Structure: 100% amino acid sequence identity match between ABP-450 and Botox®, based on sequence coverage of 93% - 99% for the five proteins that comprise the 900kD botulinum toxin type A complex.</w:t>
      </w:r>
    </w:p>
    <w:p>
      <w:pPr>
        <w:spacing w:after="0" w:line="62" w:lineRule="exact"/>
        <w:rPr>
          <w:sz w:val="20"/>
          <w:szCs w:val="20"/>
          <w:color w:val="auto"/>
        </w:rPr>
      </w:pPr>
    </w:p>
    <w:p>
      <w:pPr>
        <w:ind w:left="1800" w:right="280" w:hanging="360"/>
        <w:spacing w:after="0" w:line="261" w:lineRule="auto"/>
        <w:tabs>
          <w:tab w:leader="none" w:pos="1800" w:val="left"/>
        </w:tabs>
        <w:numPr>
          <w:ilvl w:val="0"/>
          <w:numId w:val="7"/>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More than 3,400 amino acids analyzed across three lots of ABP-450 and two lots of Botox® without a single amino acid difference, confirming data robustness.</w:t>
      </w:r>
    </w:p>
    <w:p>
      <w:pPr>
        <w:spacing w:after="0" w:line="61" w:lineRule="exact"/>
        <w:rPr>
          <w:sz w:val="20"/>
          <w:szCs w:val="20"/>
          <w:color w:val="auto"/>
        </w:rPr>
      </w:pPr>
    </w:p>
    <w:p>
      <w:pPr>
        <w:ind w:left="1800" w:right="400" w:hanging="360"/>
        <w:spacing w:after="0" w:line="261" w:lineRule="auto"/>
        <w:tabs>
          <w:tab w:leader="none" w:pos="1800" w:val="left"/>
        </w:tabs>
        <w:numPr>
          <w:ilvl w:val="1"/>
          <w:numId w:val="8"/>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High analytical sensitivity achieved via liquid chromatography/mass spectrometry (LC/MS), with no minor sequence deviations observed.</w:t>
      </w:r>
    </w:p>
    <w:p>
      <w:pPr>
        <w:spacing w:after="0" w:line="76" w:lineRule="exact"/>
        <w:rPr>
          <w:rFonts w:ascii="Courier New" w:cs="Courier New" w:eastAsia="Courier New" w:hAnsi="Courier New"/>
          <w:sz w:val="20"/>
          <w:szCs w:val="20"/>
          <w:color w:val="auto"/>
        </w:rPr>
      </w:pPr>
    </w:p>
    <w:p>
      <w:pPr>
        <w:ind w:left="1080" w:hanging="360"/>
        <w:spacing w:after="0"/>
        <w:tabs>
          <w:tab w:leader="none" w:pos="108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color w:val="auto"/>
        </w:rPr>
        <w:t>Functional Analyses: similarity in potency, enzymatic activity, and composition.</w:t>
      </w:r>
    </w:p>
    <w:p>
      <w:pPr>
        <w:spacing w:after="0" w:line="104" w:lineRule="exact"/>
        <w:rPr>
          <w:rFonts w:ascii="Symbol" w:cs="Symbol" w:eastAsia="Symbol" w:hAnsi="Symbol"/>
          <w:sz w:val="20"/>
          <w:szCs w:val="20"/>
          <w:color w:val="auto"/>
        </w:rPr>
      </w:pPr>
    </w:p>
    <w:p>
      <w:pPr>
        <w:ind w:left="1800" w:right="200" w:hanging="360"/>
        <w:spacing w:after="0" w:line="261" w:lineRule="auto"/>
        <w:tabs>
          <w:tab w:leader="none" w:pos="1800" w:val="left"/>
        </w:tabs>
        <w:numPr>
          <w:ilvl w:val="1"/>
          <w:numId w:val="8"/>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Potency: ABP-450 demonstrated highly similar potency to Botox® across two distinct assays - LD50 (in vivo biological activity) and CBPA (cell-based potency assay) - supporting clinical dose predictability.</w:t>
      </w:r>
    </w:p>
    <w:p>
      <w:pPr>
        <w:spacing w:after="0" w:line="61" w:lineRule="exact"/>
        <w:rPr>
          <w:sz w:val="20"/>
          <w:szCs w:val="20"/>
          <w:color w:val="auto"/>
        </w:rPr>
      </w:pPr>
    </w:p>
    <w:p>
      <w:pPr>
        <w:ind w:left="1800" w:right="620" w:hanging="360"/>
        <w:spacing w:after="0" w:line="261" w:lineRule="auto"/>
        <w:tabs>
          <w:tab w:leader="none" w:pos="1800" w:val="left"/>
        </w:tabs>
        <w:numPr>
          <w:ilvl w:val="1"/>
          <w:numId w:val="9"/>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Composition: ELISA confirmed comparable vial-to-vial active ingredient content between ABP-450 and Botox®, further supporting dose similarity and reliability.</w:t>
      </w:r>
    </w:p>
    <w:p>
      <w:pPr>
        <w:spacing w:after="0" w:line="75" w:lineRule="exact"/>
        <w:rPr>
          <w:rFonts w:ascii="Courier New" w:cs="Courier New" w:eastAsia="Courier New" w:hAnsi="Courier New"/>
          <w:sz w:val="20"/>
          <w:szCs w:val="20"/>
          <w:color w:val="auto"/>
        </w:rPr>
      </w:pPr>
    </w:p>
    <w:p>
      <w:pPr>
        <w:ind w:left="1080" w:right="40" w:hanging="359"/>
        <w:spacing w:after="0" w:line="251" w:lineRule="auto"/>
        <w:tabs>
          <w:tab w:leader="none" w:pos="108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Enzymatic activity: ABP-450 demonstrated functional cleavage of SNAP-25, consistent with the expected mechanism of action; observed variability was within the expected analytical range and is anticipated to tighten as additional lots are tested.</w:t>
      </w:r>
    </w:p>
    <w:p>
      <w:pPr>
        <w:spacing w:after="0" w:line="153" w:lineRule="exact"/>
        <w:rPr>
          <w:sz w:val="20"/>
          <w:szCs w:val="20"/>
          <w:color w:val="auto"/>
        </w:rPr>
      </w:pPr>
    </w:p>
    <w:p>
      <w:pPr>
        <w:jc w:val="both"/>
        <w:ind w:right="120" w:firstLine="361"/>
        <w:spacing w:after="0" w:line="259" w:lineRule="auto"/>
        <w:rPr>
          <w:sz w:val="20"/>
          <w:szCs w:val="20"/>
          <w:color w:val="auto"/>
        </w:rPr>
      </w:pPr>
      <w:r>
        <w:rPr>
          <w:rFonts w:ascii="Times New Roman" w:cs="Times New Roman" w:eastAsia="Times New Roman" w:hAnsi="Times New Roman"/>
          <w:sz w:val="20"/>
          <w:szCs w:val="20"/>
          <w:color w:val="auto"/>
        </w:rPr>
        <w:t>These results contribute to our assessment of analytical similarity by characterizing key structural attributes of ABP -450 relative to the reference product and are intended to reduce residual uncertainty and potentially limit the need for further clinical assessments. Additional analytical and functional studies are ongoing as part of our broader analytical similarity assessment.</w:t>
      </w:r>
    </w:p>
    <w:p>
      <w:pPr>
        <w:spacing w:after="0" w:line="65"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color w:val="auto"/>
        </w:rPr>
        <w:t>Botulinum toxins represent a well-characterized class of biologic therapeutics with over 230 potential therapeutic uses</w:t>
      </w:r>
    </w:p>
    <w:p>
      <w:pPr>
        <w:spacing w:after="0" w:line="28"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20"/>
          <w:szCs w:val="20"/>
          <w:color w:val="auto"/>
        </w:rPr>
        <w:t>documented in the published scientific literature and twelve FDA-approved indications in the United States. ABP-450 has been previously evaluated in multiple clinical and preclinical programs, including Phase 2 studies in cervical dystonia and migraine and preclinical work in gastroparesis and neuropsychiatric models. The Phase 2 cervical dystonia program met its primary and key secondary endpoints and, together with its open-label safety extension, provides human clinical data supporting the potential safety and efficacy of ABP-450. We are not currently pursuing additional 351(a) indication-specific development programs, but we retain related intellectual property and know-how that could support future collaborations or lifecycle opportunities.</w:t>
      </w:r>
    </w:p>
    <w:p>
      <w:pPr>
        <w:spacing w:after="0" w:line="20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Daewoong, a South Korean pharmaceutical manufacturer, developed and received approval for Nabota® in 2013 for the treatment of glabellar lines, and as of November 2024 has been approved in 69 countries, under the brand names Nabota®, Clodew®, Beautem®, Nuceiva® and Jeuveau® for the treatment of a number of indications, including glabellar lines, focal upper limb spasticity, crow’s feet line, blepharospasm and benign masseteric hypertrophy.</w:t>
      </w:r>
    </w:p>
    <w:p>
      <w:pPr>
        <w:spacing w:after="0" w:line="192" w:lineRule="exact"/>
        <w:rPr>
          <w:sz w:val="20"/>
          <w:szCs w:val="20"/>
          <w:color w:val="auto"/>
        </w:rPr>
      </w:pPr>
    </w:p>
    <w:p>
      <w:pPr>
        <w:ind w:right="480" w:firstLine="360"/>
        <w:spacing w:after="0" w:line="305" w:lineRule="auto"/>
        <w:rPr>
          <w:sz w:val="20"/>
          <w:szCs w:val="20"/>
          <w:color w:val="auto"/>
        </w:rPr>
      </w:pPr>
      <w:r>
        <w:rPr>
          <w:rFonts w:ascii="Times New Roman" w:cs="Times New Roman" w:eastAsia="Times New Roman" w:hAnsi="Times New Roman"/>
          <w:sz w:val="19"/>
          <w:szCs w:val="19"/>
          <w:color w:val="auto"/>
        </w:rPr>
        <w:t>ABP-450 is the same botulinum toxin as Jeuveau®, which we license from Daewoong, and have exclusive development and distribution rights for therapeutic indications in the U.S., Canada, the European Union, the United Kingdom, and certain other</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800"/>
          </w:cols>
          <w:pgMar w:left="540" w:top="1349" w:right="540" w:bottom="0" w:gutter="0" w:footer="0" w:header="0"/>
          <w:type w:val="continuous"/>
        </w:sectPr>
      </w:pPr>
    </w:p>
    <w:bookmarkStart w:id="7" w:name="page8"/>
    <w:bookmarkEnd w:id="7"/>
    <w:p>
      <w:pPr>
        <w:ind w:right="20" w:firstLine="1"/>
        <w:spacing w:after="0" w:line="243" w:lineRule="auto"/>
        <w:rPr>
          <w:sz w:val="20"/>
          <w:szCs w:val="20"/>
          <w:color w:val="auto"/>
        </w:rPr>
      </w:pPr>
      <w:r>
        <w:rPr>
          <w:rFonts w:ascii="Times New Roman" w:cs="Times New Roman" w:eastAsia="Times New Roman" w:hAnsi="Times New Roman"/>
          <w:sz w:val="20"/>
          <w:szCs w:val="20"/>
          <w:color w:val="auto"/>
        </w:rPr>
        <w:t>international territories. Daewoong licenses the same 900 kDa botulinum toxin to Evolus for cosmetic indications, which Evolus markets and sells under the name Jeuveau® in the United States and Nuceiva® in Canada and the European Union. Prior to licensing the botulinum toxin complex to Evolus, Daewoong conducted a broad preclinical development program for ABP -450 that was primarily focused on safety to support any clinical indication. Subsequently, Evolus completed a comprehensive clinical development program of the same botulinum toxin complex and has received approval from regulatory authorities in the United States, the European Union and Canada to market and sell Jeuveau® in the United States and Nuceiva® in Canada and the European Union for the temporary improvement in the appearance of moderate to severe glabellar, or frown, lines in adults. Over 2,100 adult subjects with moderate to severe glabellar lines at maximum frown participated in Evolus’ clinical development program, and each of Evolus’ Phase 3 clinical studies successfully met their respective primary safety and efficacy endpoints. While none of these preclinical or clinical programs specifically contemplated any therapeutic use of ABP-450, given that the FDA’s regulatory requirements are generally the same for the cosmetic or therapeutic use of a toxin, we believe that the positive data derived from these preclinical and clinical studies will support the clinical development and potential future safety labeling of ABP-450 for our 351(k) biosimilar program, across all labeled dose ranges.</w:t>
      </w:r>
    </w:p>
    <w:p>
      <w:pPr>
        <w:spacing w:after="0" w:line="204"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We plan to pursue approval of ABP-450 by submitting a Section 351(k) BLA that exclusively contemplates therapeutic indications for ABP-450, which we believe could improve provider reimbursement for ABP-450, if approved. Existing botulinum toxins, including Botox®, are approved under a single BLA for both therapeutic and cosmetic indications. As a result, other botulinum toxins are required to include the sales prices of both therapeutic and cosmetic botulinum toxin sales when calculating the average selling price, or ASP, that is used to determine the reimbursement amount physicians receive for therapeutic usage. The inclusion of a lower cosmetic sales price in the calculation of ASP can cause physicians that inject for therapeutic applications to lose money when treating patients with existing botulinum toxins and also creates a deterrent to providing payors and/or providers with rebates or other financial incentives. If we are successful in obtaining approval of a Section 351(k) BLA for therapeutic indications of ABP-450, we believe the ASP for ABP-450 would be calculated using only therapeutic sales, which we believe would facilitate consistent and favorable product reimbursement to physicians when they choose to use ABP-450 for therapeutic treatments, as well as the ability to provide payors and/or providers with rebates and other financial incentives. This pricing model would be unique to us within the current therapeutic neurotoxin market, and we believe it would allow physicians to provide treatment with ABP-450 at a more competitive or the same net price as the market leader after rebates and discounts.</w:t>
      </w:r>
    </w:p>
    <w:p>
      <w:pPr>
        <w:spacing w:after="0" w:line="203" w:lineRule="exact"/>
        <w:rPr>
          <w:sz w:val="20"/>
          <w:szCs w:val="20"/>
          <w:color w:val="auto"/>
        </w:rPr>
      </w:pPr>
    </w:p>
    <w:p>
      <w:pPr>
        <w:ind w:right="160" w:firstLine="361"/>
        <w:spacing w:after="0" w:line="246" w:lineRule="auto"/>
        <w:rPr>
          <w:sz w:val="20"/>
          <w:szCs w:val="20"/>
          <w:color w:val="auto"/>
        </w:rPr>
      </w:pPr>
      <w:r>
        <w:rPr>
          <w:rFonts w:ascii="Times New Roman" w:cs="Times New Roman" w:eastAsia="Times New Roman" w:hAnsi="Times New Roman"/>
          <w:sz w:val="20"/>
          <w:szCs w:val="20"/>
          <w:color w:val="auto"/>
        </w:rPr>
        <w:t>We have never been profitable from operations and, as of December 31, 2025, we had an accumulated deficit of $470.8 million. We have never generated revenue from ABP-450. We have concluded that we do not have sufficient cash to fund our operations for 12 months from the date of our financial statements without additional financing, and as a result, there is substantial doubt about our ability to continue as a going concern. As of the date of this Report, we expect to have sufficient cash to fund our operating plan into the third quarter of 2026, including funds of $4.2 million received from the Second Closing (as defined below) in January 2026. Any further development of ABP-450 for any indication, including the biosimilar pathway and any additional studies, will require additional funding, which may not be available to us on reasonable terms, or at all.</w:t>
      </w:r>
    </w:p>
    <w:p>
      <w:pPr>
        <w:spacing w:after="0" w:line="201" w:lineRule="exact"/>
        <w:rPr>
          <w:sz w:val="20"/>
          <w:szCs w:val="20"/>
          <w:color w:val="auto"/>
        </w:rPr>
      </w:pPr>
    </w:p>
    <w:p>
      <w:pPr>
        <w:ind w:right="200" w:firstLine="360"/>
        <w:spacing w:after="0" w:line="252" w:lineRule="auto"/>
        <w:rPr>
          <w:sz w:val="20"/>
          <w:szCs w:val="20"/>
          <w:color w:val="auto"/>
        </w:rPr>
      </w:pPr>
      <w:r>
        <w:rPr>
          <w:rFonts w:ascii="Times New Roman" w:cs="Times New Roman" w:eastAsia="Times New Roman" w:hAnsi="Times New Roman"/>
          <w:sz w:val="20"/>
          <w:szCs w:val="20"/>
          <w:color w:val="auto"/>
        </w:rPr>
        <w:t>We do not expect to receive any revenue from ABP-450 or any future product candidates that we develop unless and until we obtain regulatory approval and commercialize ABP-450 or any future product candidates. We expect to continue to incur significant expenses and increasing net operating losses for the foreseeable future as we seek regulatory approval, prepare for and, if approved, proceed to commercialization of ABP-450.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the Therapeutic Botulinum Toxin Market</w:t>
      </w:r>
    </w:p>
    <w:p>
      <w:pPr>
        <w:spacing w:after="0" w:line="243"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color w:val="auto"/>
        </w:rPr>
        <w:t>Botulinum toxins are a standard treatment for a number of indications, including debilitating movement disorders, chronic migraine, overactive bladder, excessive salivating and excessive sweating, and are the first-line standard of care for the treatment of certain conditions, including cervical dystonia. The use of botulinum toxins to treat debilitating medical conditions began with the FDA approving Botox® for the treatment of strabismus and blepharospasm, two eye muscle disorders, in adults, in 1989. Botox® was the only FDA-approved type-A botulinum toxin until 2009 when the FDA initially approved Dysport® for the treatment of cervical dystonia and glabellar lines in adults. In 2010, the FDA approved Xeomin® for the treatment of cervical dystonia and blepharospasm in adults. There are currently thirteen therapeutic indications for botulinum toxins that have been approved by the FDA, of which ten are unique therapeutic indications, and nine of which are unique to Botox®.</w:t>
      </w:r>
    </w:p>
    <w:p>
      <w:pPr>
        <w:spacing w:after="0" w:line="200" w:lineRule="exact"/>
        <w:rPr>
          <w:sz w:val="20"/>
          <w:szCs w:val="20"/>
          <w:color w:val="auto"/>
        </w:rPr>
      </w:pPr>
    </w:p>
    <w:p>
      <w:pPr>
        <w:ind w:right="200" w:firstLine="360"/>
        <w:spacing w:after="0" w:line="279" w:lineRule="auto"/>
        <w:rPr>
          <w:sz w:val="20"/>
          <w:szCs w:val="20"/>
          <w:color w:val="auto"/>
        </w:rPr>
      </w:pPr>
      <w:r>
        <w:rPr>
          <w:rFonts w:ascii="Times New Roman" w:cs="Times New Roman" w:eastAsia="Times New Roman" w:hAnsi="Times New Roman"/>
          <w:sz w:val="19"/>
          <w:szCs w:val="19"/>
          <w:color w:val="auto"/>
        </w:rPr>
        <w:t>We are focused on the United States therapeutic botulinum toxin market, which represents the majority of global demand and is the primary market in which we hold development and commercialization rights. According to Clarivate Therapeutic Botulinum Toxin Market Insights (2025), the U.S. therapeutic botulinum toxin market is approximately $3.3 billion in 2025, and is projected to</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780"/>
          </w:cols>
          <w:pgMar w:left="540" w:top="1349" w:right="560" w:bottom="0" w:gutter="0" w:footer="0" w:header="0"/>
          <w:type w:val="continuous"/>
        </w:sectPr>
      </w:pPr>
    </w:p>
    <w:bookmarkStart w:id="8" w:name="page9"/>
    <w:bookmarkEnd w:id="8"/>
    <w:p>
      <w:pPr>
        <w:ind w:right="380"/>
        <w:spacing w:after="0" w:line="278" w:lineRule="auto"/>
        <w:rPr>
          <w:sz w:val="20"/>
          <w:szCs w:val="20"/>
          <w:color w:val="auto"/>
        </w:rPr>
      </w:pPr>
      <w:r>
        <w:rPr>
          <w:rFonts w:ascii="Times New Roman" w:cs="Times New Roman" w:eastAsia="Times New Roman" w:hAnsi="Times New Roman"/>
          <w:sz w:val="20"/>
          <w:szCs w:val="20"/>
          <w:color w:val="auto"/>
        </w:rPr>
        <w:t>grow at an annual growth rate of approximately 8% by increasing procedure volumes, expansion across approved indications, and continued physician and patient adoption.</w:t>
      </w:r>
    </w:p>
    <w:p>
      <w:pPr>
        <w:spacing w:after="0" w:line="168" w:lineRule="exact"/>
        <w:rPr>
          <w:sz w:val="20"/>
          <w:szCs w:val="20"/>
          <w:color w:val="auto"/>
        </w:rPr>
      </w:pPr>
    </w:p>
    <w:p>
      <w:pPr>
        <w:ind w:right="140" w:firstLine="361"/>
        <w:spacing w:after="0" w:line="249" w:lineRule="auto"/>
        <w:rPr>
          <w:sz w:val="20"/>
          <w:szCs w:val="20"/>
          <w:color w:val="auto"/>
        </w:rPr>
      </w:pPr>
      <w:r>
        <w:rPr>
          <w:rFonts w:ascii="Times New Roman" w:cs="Times New Roman" w:eastAsia="Times New Roman" w:hAnsi="Times New Roman"/>
          <w:sz w:val="20"/>
          <w:szCs w:val="20"/>
          <w:color w:val="auto"/>
        </w:rPr>
        <w:t>The market is characterized by physician-administered, buy-and-bill dynamics, in which healthcare providers purchase and are reimbursed for products they administer. As a result, prescribing decisions may be influenced by a combination of clinical considerations, reimbursement, practice economics, operational workflow considerations, and familiarity with existing products. The market spans multiple therapeutic indications, including chronic migraine, spasticity, cervical dystonia, and overactive bladder, and the breadth of a product’s approved label may influence its utilization across these indications.</w:t>
      </w:r>
    </w:p>
    <w:p>
      <w:pPr>
        <w:spacing w:after="0" w:line="197" w:lineRule="exact"/>
        <w:rPr>
          <w:sz w:val="20"/>
          <w:szCs w:val="20"/>
          <w:color w:val="auto"/>
        </w:rPr>
      </w:pPr>
    </w:p>
    <w:p>
      <w:pPr>
        <w:ind w:right="440" w:firstLine="360"/>
        <w:spacing w:after="0" w:line="249" w:lineRule="auto"/>
        <w:rPr>
          <w:sz w:val="20"/>
          <w:szCs w:val="20"/>
          <w:color w:val="auto"/>
        </w:rPr>
      </w:pPr>
      <w:r>
        <w:rPr>
          <w:rFonts w:ascii="Times New Roman" w:cs="Times New Roman" w:eastAsia="Times New Roman" w:hAnsi="Times New Roman"/>
          <w:sz w:val="20"/>
          <w:szCs w:val="20"/>
          <w:color w:val="auto"/>
        </w:rPr>
        <w:t>The United States therapeutic botulinum toxin market is highly concentrated and has historically been dominated by a single branded product, Botox®, which accounted for approximately ~92% of the market in 2024. Approved alternatives, including Dysport® and Xeomin®, have collectively represented a minority share of the market. This concentration reflects established prescribing patterns, physician familiarity, operational considerations, and differences in approved label breadth, as well as the absence of products approved as biosimilars to Botox® in the United States.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ABP-450</w:t>
      </w:r>
    </w:p>
    <w:p>
      <w:pPr>
        <w:spacing w:after="0" w:line="244" w:lineRule="exact"/>
        <w:rPr>
          <w:sz w:val="20"/>
          <w:szCs w:val="20"/>
          <w:color w:val="auto"/>
        </w:rPr>
      </w:pPr>
    </w:p>
    <w:p>
      <w:pPr>
        <w:ind w:right="40" w:firstLine="361"/>
        <w:spacing w:after="0" w:line="252" w:lineRule="auto"/>
        <w:rPr>
          <w:sz w:val="20"/>
          <w:szCs w:val="20"/>
          <w:color w:val="auto"/>
        </w:rPr>
      </w:pPr>
      <w:r>
        <w:rPr>
          <w:rFonts w:ascii="Times New Roman" w:cs="Times New Roman" w:eastAsia="Times New Roman" w:hAnsi="Times New Roman"/>
          <w:sz w:val="20"/>
          <w:szCs w:val="20"/>
          <w:color w:val="auto"/>
        </w:rPr>
        <w:t>ABP-450 is a di-chain polypeptide, a heavy chain joined by a disulfide bond to a light chain. The light chain is a protease enzyme that attacks fusion proteins at the neuromuscular junction, preventing the vesicles containing acetylcholine from anchoring to the membrane and inhibiting their release. ABP-450 interferes with nerve impulses by inhibiting the release of acetylcholine into the neuromuscular junction, causing a flaccid paralysis of muscles.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The active biologic ingredient in ABP-450 is Clostridium </w:t>
      </w:r>
      <w:r>
        <w:rPr>
          <w:rFonts w:ascii="Times New Roman" w:cs="Times New Roman" w:eastAsia="Times New Roman" w:hAnsi="Times New Roman"/>
          <w:sz w:val="20"/>
          <w:szCs w:val="20"/>
          <w:i w:val="1"/>
          <w:iCs w:val="1"/>
          <w:color w:val="auto"/>
        </w:rPr>
        <w:t>botulinum</w:t>
      </w:r>
      <w:r>
        <w:rPr>
          <w:rFonts w:ascii="Times New Roman" w:cs="Times New Roman" w:eastAsia="Times New Roman" w:hAnsi="Times New Roman"/>
          <w:sz w:val="20"/>
          <w:szCs w:val="20"/>
          <w:color w:val="auto"/>
        </w:rPr>
        <w:t xml:space="preserve"> toxin, type A with a complete molecular complex weight of</w:t>
      </w:r>
    </w:p>
    <w:p>
      <w:pPr>
        <w:spacing w:after="0" w:line="2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900 kDa. Botulinum toxin type A is an active toxin composed of a covalently bonded dimer of two complexes consisting of neurotoxin, non-toxic non-haemagglutinin protein, and haemagglutinin proteins. The active part of the botulinum toxin is the 150 kDa component, and the remaining 750 kDa of the complex is made up of accessory proteins that we believe help with the function of the active portion of the botulinum toxin. When injected at therapeutic levels, ABP-450 blocks peripheral acetylcholine release at presynaptic cholinergic nerve terminals by cleaving SNAP-25, a protein integral to the successful docking and release of acetylcholine from vesicles situated within the nerve endings leading to denervation and relaxation of the muscle. We believe, ABP-450, if approved, would be the only therapeutic botulinum toxin with significantly similar physiochemical properties as Botox®. In addition, ABP-450 would be the only therapeutic botulinum toxin that shares the same procedure and dilution ratios for the reconstitution of the botulinum toxin to an injectable liquid. These reconstitution procedures are not subject to intellectual property protection. If ABP-450 is approved, we believe the similarity of the two products will facilitate physician adoption of ABP-450 more rapidly and sustainably than other botulinum toxins that compete with Botox®.</w:t>
      </w:r>
    </w:p>
    <w:p>
      <w:pPr>
        <w:spacing w:after="0" w:line="202"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Daewoong has constructed a facility in South Korea where it produces ABP-450 and Jeuveau®, which is the same botulinum toxin complex as ABP-450. The manufacture of ABP -450 drug substance is based on the fermentation of Daewoong’s C.</w:t>
      </w:r>
      <w:r>
        <w:rPr>
          <w:rFonts w:ascii="Times New Roman" w:cs="Times New Roman" w:eastAsia="Times New Roman" w:hAnsi="Times New Roman"/>
          <w:sz w:val="20"/>
          <w:szCs w:val="20"/>
          <w:i w:val="1"/>
          <w:iCs w:val="1"/>
          <w:color w:val="auto"/>
        </w:rPr>
        <w:t>botulinum</w:t>
      </w:r>
      <w:r>
        <w:rPr>
          <w:rFonts w:ascii="Times New Roman" w:cs="Times New Roman" w:eastAsia="Times New Roman" w:hAnsi="Times New Roman"/>
          <w:sz w:val="20"/>
          <w:szCs w:val="20"/>
          <w:color w:val="auto"/>
        </w:rPr>
        <w:t xml:space="preserve"> cell line, followed by isolation and purification of the drug substance. The drug substance production facility was purpose built and has successfully completed multiple FDA and EMA regulatory inspections that assessed compliance cGMP standards. We believe this facility will be sufficient to meet demand for ABP-450 for the foreseeable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Pipeline</w:t>
      </w:r>
    </w:p>
    <w:p>
      <w:pPr>
        <w:spacing w:after="0" w:line="243" w:lineRule="exact"/>
        <w:rPr>
          <w:sz w:val="20"/>
          <w:szCs w:val="20"/>
          <w:color w:val="auto"/>
        </w:rPr>
      </w:pPr>
    </w:p>
    <w:p>
      <w:pPr>
        <w:jc w:val="both"/>
        <w:ind w:right="160" w:firstLine="360"/>
        <w:spacing w:after="0" w:line="249" w:lineRule="auto"/>
        <w:rPr>
          <w:sz w:val="20"/>
          <w:szCs w:val="20"/>
          <w:color w:val="auto"/>
        </w:rPr>
      </w:pPr>
      <w:r>
        <w:rPr>
          <w:rFonts w:ascii="Times New Roman" w:cs="Times New Roman" w:eastAsia="Times New Roman" w:hAnsi="Times New Roman"/>
          <w:sz w:val="20"/>
          <w:szCs w:val="20"/>
          <w:color w:val="auto"/>
        </w:rPr>
        <w:t>AEON is advancing ABP-450 (prabotulinumtoxinA) as a biosimilar to Botox® (onabotulinumtoxinA), targeting full-label U.S. market entry for all the therapeutic indications for which Botox® is approved, other than the cosmetic uses for which we do not hold development or commercialization rights. According to Clarivate Therapeutic Botulinum Toxin Market Insights (2025), the</w:t>
      </w:r>
    </w:p>
    <w:p>
      <w:pPr>
        <w:spacing w:after="0" w:line="2"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20"/>
          <w:szCs w:val="20"/>
          <w:color w:val="auto"/>
        </w:rPr>
        <w:t>U.S. therapeutic botulinum toxin market is approximately $3.3 billion in 2025, and is projected to grow at an annual growth rate of approximately 8%. Despite its size, the therapeutic toxin market has remained effectively closed to competition due to switching complexity and lack of clinically substitutable alternatives. We believe ABP-450, if approved, has the potential to change this dynamic and enable, for the first time, broad switching across established patients.</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AEON's unique position and novel approach:</w:t>
      </w:r>
    </w:p>
    <w:p>
      <w:pPr>
        <w:spacing w:after="0" w:line="254" w:lineRule="exact"/>
        <w:rPr>
          <w:sz w:val="20"/>
          <w:szCs w:val="20"/>
          <w:color w:val="auto"/>
        </w:rPr>
      </w:pPr>
    </w:p>
    <w:p>
      <w:pPr>
        <w:ind w:left="720" w:right="420" w:hanging="360"/>
        <w:spacing w:after="0" w:line="262" w:lineRule="auto"/>
        <w:tabs>
          <w:tab w:leader="none" w:pos="72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Full clinical substitution—</w:t>
      </w:r>
      <w:r>
        <w:rPr>
          <w:rFonts w:ascii="Times New Roman" w:cs="Times New Roman" w:eastAsia="Times New Roman" w:hAnsi="Times New Roman"/>
          <w:sz w:val="20"/>
          <w:szCs w:val="20"/>
          <w:color w:val="auto"/>
        </w:rPr>
        <w:t>If ABP-450 is approved as a biosimilar to Botox® across all its existing approved therapeutic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indication ABP-450 would represent a viable substitute to Botox® across all</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780"/>
          </w:cols>
          <w:pgMar w:left="540" w:top="1349" w:right="560" w:bottom="0" w:gutter="0" w:footer="0" w:header="0"/>
          <w:type w:val="continuous"/>
        </w:sectPr>
      </w:pPr>
    </w:p>
    <w:bookmarkStart w:id="9" w:name="page10"/>
    <w:bookmarkEnd w:id="9"/>
    <w:p>
      <w:pPr>
        <w:ind w:left="720" w:right="200"/>
        <w:spacing w:after="0" w:line="259" w:lineRule="auto"/>
        <w:rPr>
          <w:sz w:val="20"/>
          <w:szCs w:val="20"/>
          <w:color w:val="auto"/>
        </w:rPr>
      </w:pPr>
      <w:r>
        <w:rPr>
          <w:rFonts w:ascii="Times New Roman" w:cs="Times New Roman" w:eastAsia="Times New Roman" w:hAnsi="Times New Roman"/>
          <w:sz w:val="20"/>
          <w:szCs w:val="20"/>
          <w:color w:val="auto"/>
        </w:rPr>
        <w:t>therapeutic indications, including chronic migraine, cervical dystonia, blepharospasm, strabismus, overactive bladder, adult and pediatric detrusor overactivity, adult and pediatric upper and lower spasticity and axillary hyperhidrosis, unlike prior competitors.</w:t>
      </w:r>
    </w:p>
    <w:p>
      <w:pPr>
        <w:spacing w:after="0" w:line="76" w:lineRule="exact"/>
        <w:rPr>
          <w:sz w:val="20"/>
          <w:szCs w:val="20"/>
          <w:color w:val="auto"/>
        </w:rPr>
      </w:pPr>
    </w:p>
    <w:p>
      <w:pPr>
        <w:ind w:left="720" w:right="380" w:hanging="360"/>
        <w:spacing w:after="0" w:line="267" w:lineRule="auto"/>
        <w:tabs>
          <w:tab w:leader="none" w:pos="72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Physician adoption at scale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Clinical substitutability could drive physician confidence and operational simplicity—same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dosing, dilution, and administration—enabling seamless integration into existing practice.</w:t>
      </w:r>
    </w:p>
    <w:p>
      <w:pPr>
        <w:spacing w:after="0" w:line="69" w:lineRule="exact"/>
        <w:rPr>
          <w:rFonts w:ascii="Symbol" w:cs="Symbol" w:eastAsia="Symbol" w:hAnsi="Symbol"/>
          <w:sz w:val="20"/>
          <w:szCs w:val="20"/>
          <w:color w:val="auto"/>
        </w:rPr>
      </w:pPr>
    </w:p>
    <w:p>
      <w:pPr>
        <w:ind w:left="720" w:right="20" w:hanging="360"/>
        <w:spacing w:after="0" w:line="262" w:lineRule="auto"/>
        <w:tabs>
          <w:tab w:leader="none" w:pos="72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Aligned economic incentives - </w:t>
      </w:r>
      <w:r>
        <w:rPr>
          <w:rFonts w:ascii="Times New Roman" w:cs="Times New Roman" w:eastAsia="Times New Roman" w:hAnsi="Times New Roman"/>
          <w:sz w:val="20"/>
          <w:szCs w:val="20"/>
          <w:color w:val="auto"/>
        </w:rPr>
        <w:t>Physicians could benefit from improved buy-and-bill economics, while payers gain a clinically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comparable, lower-cost alternative—together expected to enable switching across established patients.</w:t>
      </w:r>
    </w:p>
    <w:p>
      <w:pPr>
        <w:spacing w:after="0" w:line="76" w:lineRule="exact"/>
        <w:rPr>
          <w:rFonts w:ascii="Symbol" w:cs="Symbol" w:eastAsia="Symbol" w:hAnsi="Symbol"/>
          <w:sz w:val="20"/>
          <w:szCs w:val="20"/>
          <w:color w:val="auto"/>
        </w:rPr>
      </w:pPr>
    </w:p>
    <w:p>
      <w:pPr>
        <w:ind w:left="720" w:right="320" w:hanging="360"/>
        <w:spacing w:after="0" w:line="250" w:lineRule="auto"/>
        <w:tabs>
          <w:tab w:leader="none" w:pos="72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Globally approved product with scaled manufacturing </w:t>
      </w:r>
      <w:r>
        <w:rPr>
          <w:rFonts w:ascii="Times New Roman" w:cs="Times New Roman" w:eastAsia="Times New Roman" w:hAnsi="Times New Roman"/>
          <w:sz w:val="20"/>
          <w:szCs w:val="20"/>
          <w:color w:val="auto"/>
        </w:rPr>
        <w:t>- ABP-450 is the same botulinum toxin approved in 69+ countries,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in the U.S. (Jeuveau® - marketed by Evolus for aesthetic use), and is supported by a fully scaled, globally validated manufacturing platform.</w:t>
      </w:r>
    </w:p>
    <w:p>
      <w:pPr>
        <w:spacing w:after="0" w:line="90" w:lineRule="exact"/>
        <w:rPr>
          <w:rFonts w:ascii="Symbol" w:cs="Symbol" w:eastAsia="Symbol" w:hAnsi="Symbol"/>
          <w:sz w:val="20"/>
          <w:szCs w:val="20"/>
          <w:color w:val="auto"/>
        </w:rPr>
      </w:pPr>
    </w:p>
    <w:p>
      <w:pPr>
        <w:ind w:left="720" w:right="560" w:hanging="360"/>
        <w:spacing w:after="0" w:line="262" w:lineRule="auto"/>
        <w:tabs>
          <w:tab w:leader="none" w:pos="72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Advancing based on FDA feedback following BPD Type 2a - </w:t>
      </w:r>
      <w:r>
        <w:rPr>
          <w:rFonts w:ascii="Times New Roman" w:cs="Times New Roman" w:eastAsia="Times New Roman" w:hAnsi="Times New Roman"/>
          <w:sz w:val="20"/>
          <w:szCs w:val="20"/>
          <w:color w:val="auto"/>
        </w:rPr>
        <w:t>Following its BPD Type 2a meeting, AEON is advancing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through a defined, capital-efficient biosimilar pathway toward potential full-label approval.</w:t>
      </w:r>
    </w:p>
    <w:p>
      <w:pPr>
        <w:spacing w:after="0" w:line="181" w:lineRule="exact"/>
        <w:rPr>
          <w:sz w:val="20"/>
          <w:szCs w:val="20"/>
          <w:color w:val="auto"/>
        </w:rPr>
      </w:pPr>
    </w:p>
    <w:p>
      <w:pPr>
        <w:ind w:right="60" w:firstLine="361"/>
        <w:spacing w:after="0" w:line="243" w:lineRule="auto"/>
        <w:rPr>
          <w:sz w:val="20"/>
          <w:szCs w:val="20"/>
          <w:color w:val="auto"/>
        </w:rPr>
      </w:pPr>
      <w:r>
        <w:rPr>
          <w:rFonts w:ascii="Times New Roman" w:cs="Times New Roman" w:eastAsia="Times New Roman" w:hAnsi="Times New Roman"/>
          <w:sz w:val="20"/>
          <w:szCs w:val="20"/>
          <w:color w:val="auto"/>
        </w:rPr>
        <w:t>We held an initial meeting with the FDA in the third quarter of 2024 during which we obtained feedback from the FDA on the next steps to develop a Botox® biosimilar. We commenced analytical studies in the fourth quarter of 2024 to prepare for a BPD Type 2a meeting with the FDA that was held on January 21, 2026. During the meeting, the FDA reviewed the Company’s proposed analytical similarity strategy under the 351(k) biosimilar pathway. The FDA acknowledged the scientific challenges associated with characterizing a 900 kDa botulinum neurotoxin complex, provided constructive feedback on our proposed development approach and analytical assessment plan, and noted that our analytical methodologies appeared reasonable to support advancement of the program toward a comprehensive analytical similarity package. We believe this feedback provides a clear framework for the remaining analytical components of its biosimilar development program and plans to complete the majority of its analytical comparability program in 2026. We are currently planning to request a BPD Type 2b meeting in 2026 to discuss the next phase of the development program to support approval of ABP-450 as a biosimilar to Botox® across all approved therapeutic indications to review the results from the analytical studies, including comparative primary structure analysis and select functional analyses, and present our analytical development plan.</w:t>
      </w:r>
    </w:p>
    <w:p>
      <w:pPr>
        <w:spacing w:after="0" w:line="206"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The anticipated level of financing needed for our existing pipeline candidate is highly variable and difficult to project as the required analytical, and potentially clinical, studies, which are our primary cost drivers, will be largely based on the data generated and feedback from the FDA. As of the date of this Report, we expect to have sufficient cash to fund our operating plan into the</w:t>
      </w:r>
    </w:p>
    <w:p>
      <w:pPr>
        <w:spacing w:after="0" w:line="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third quarter of 2026. We are actively attempting to secure additional capital to fund our operations. However, we cannot assure you that we will be able to raise additional capital on commercially reasonable terms or at all. Any further development of ABP-450 for any indication, including the biosimilar pathway and any additional studies in cervical dystonia, will require additional funding, which may not be available to us on reasonable terms, or at all.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Previous Development of our Botulinum Toxin</w:t>
      </w:r>
    </w:p>
    <w:p>
      <w:pPr>
        <w:spacing w:after="0" w:line="243" w:lineRule="exact"/>
        <w:rPr>
          <w:sz w:val="20"/>
          <w:szCs w:val="20"/>
          <w:color w:val="auto"/>
        </w:rPr>
      </w:pPr>
    </w:p>
    <w:p>
      <w:pPr>
        <w:ind w:right="120" w:firstLine="361"/>
        <w:spacing w:after="0" w:line="245" w:lineRule="auto"/>
        <w:rPr>
          <w:sz w:val="20"/>
          <w:szCs w:val="20"/>
          <w:color w:val="auto"/>
        </w:rPr>
      </w:pPr>
      <w:r>
        <w:rPr>
          <w:rFonts w:ascii="Times New Roman" w:cs="Times New Roman" w:eastAsia="Times New Roman" w:hAnsi="Times New Roman"/>
          <w:sz w:val="20"/>
          <w:szCs w:val="20"/>
          <w:color w:val="auto"/>
        </w:rPr>
        <w:t>The same botulinum toxin as ABP-450 has been approved for the cosmetic treatment of moderate to severe glabellar lines in a number of territories. In the United States, Evolus markets and sells the same botulinum toxin as ABP-450 for the cosmetic treatment of moderate to severe glabellar lines under the brand name Jeuveau® and under the brand name Nuceiva® in Canada, the European Union, the United Kingdom, Australia and Switzerland. We believe that the Daewoong and Evolus studies related to the treatment of glabellar lines are relevant to the development of ABP-450 for therapeutic indications for several reasons, including that over</w:t>
      </w:r>
    </w:p>
    <w:p>
      <w:pPr>
        <w:spacing w:after="0" w:line="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2,100 adults have been injected with a botulinum toxin that is identical or nearly identical to ABP-450 in the context of a clinical study program, generating significant safety, efficacy and non-inferiority data in the cosmetic setting.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Daewoong Preclinical Toxicology Program</w:t>
      </w:r>
    </w:p>
    <w:p>
      <w:pPr>
        <w:spacing w:after="0" w:line="239" w:lineRule="exact"/>
        <w:rPr>
          <w:sz w:val="20"/>
          <w:szCs w:val="20"/>
          <w:color w:val="auto"/>
        </w:rPr>
      </w:pPr>
    </w:p>
    <w:p>
      <w:pPr>
        <w:ind w:right="560" w:firstLine="360"/>
        <w:spacing w:after="0" w:line="269" w:lineRule="auto"/>
        <w:rPr>
          <w:sz w:val="20"/>
          <w:szCs w:val="20"/>
          <w:color w:val="auto"/>
        </w:rPr>
      </w:pPr>
      <w:r>
        <w:rPr>
          <w:rFonts w:ascii="Times New Roman" w:cs="Times New Roman" w:eastAsia="Times New Roman" w:hAnsi="Times New Roman"/>
          <w:sz w:val="19"/>
          <w:szCs w:val="19"/>
          <w:color w:val="auto"/>
        </w:rPr>
        <w:t>In accordance with international guidelines and in consultation with the FDA, Daewoong conducted a broad preclinical development program for ABP-450, including the study of dose concentrations contemplated for multiple therapeutic uses. The program included preclinical efficacy, safety, reproductive toxicity, pharmacological effects, and single and repeat dose toxicity studies of ABP-450. Therefore, if ABP-450 is determined to be a biosimilar to the proposed reference product, then we believe</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800"/>
          </w:cols>
          <w:pgMar w:left="540" w:top="1349" w:right="540" w:bottom="0" w:gutter="0" w:footer="0" w:header="0"/>
          <w:type w:val="continuous"/>
        </w:sectPr>
      </w:pPr>
    </w:p>
    <w:bookmarkStart w:id="10" w:name="page11"/>
    <w:bookmarkEnd w:id="10"/>
    <w:p>
      <w:pPr>
        <w:ind w:right="380"/>
        <w:spacing w:after="0" w:line="278" w:lineRule="auto"/>
        <w:rPr>
          <w:sz w:val="20"/>
          <w:szCs w:val="20"/>
          <w:color w:val="auto"/>
        </w:rPr>
      </w:pPr>
      <w:r>
        <w:rPr>
          <w:rFonts w:ascii="Times New Roman" w:cs="Times New Roman" w:eastAsia="Times New Roman" w:hAnsi="Times New Roman"/>
          <w:sz w:val="20"/>
          <w:szCs w:val="20"/>
          <w:color w:val="auto"/>
        </w:rPr>
        <w:t>additional nonclinical studies would not be needed unless additional safety concerns arise. We may plan to use this information in future biosimilar filings as appropriate.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Daewoong South Korean Clinical Development for Glabellar Lines</w:t>
      </w:r>
    </w:p>
    <w:p>
      <w:pPr>
        <w:spacing w:after="0" w:line="23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In South Korea, Daewoong conducted two clinical studies of Nabota®, a form of the same botulinum toxin as ABP-450, to</w:t>
      </w:r>
    </w:p>
    <w:p>
      <w:pPr>
        <w:spacing w:after="0" w:line="2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support its BLA for the cosmetic treatment of moderate to severe glabellar lines to the Korean Ministry of Food and Drug Safety, or MFDS, including one Phase 1 clinical study and one Phase 3 clinical study. Both studies were double-blind, randomized studies with an active control, Botox®. Each study compared 20 units of Nabota® with 20 units of Botox®, injected into each of five target sites in the glabellar region of adult subjects with moderate to severe glabellar lines.</w:t>
      </w:r>
    </w:p>
    <w:p>
      <w:pPr>
        <w:spacing w:after="0" w:line="201" w:lineRule="exact"/>
        <w:rPr>
          <w:sz w:val="20"/>
          <w:szCs w:val="20"/>
          <w:color w:val="auto"/>
        </w:rPr>
      </w:pPr>
    </w:p>
    <w:p>
      <w:pPr>
        <w:ind w:right="60" w:firstLine="360"/>
        <w:spacing w:after="0" w:line="247" w:lineRule="auto"/>
        <w:rPr>
          <w:sz w:val="20"/>
          <w:szCs w:val="20"/>
          <w:color w:val="auto"/>
        </w:rPr>
      </w:pPr>
      <w:r>
        <w:rPr>
          <w:rFonts w:ascii="Times New Roman" w:cs="Times New Roman" w:eastAsia="Times New Roman" w:hAnsi="Times New Roman"/>
          <w:sz w:val="20"/>
          <w:szCs w:val="20"/>
          <w:color w:val="auto"/>
        </w:rPr>
        <w:t>Nabota® was approved by the MFDS for marketing on November 29, 2013 for the treatment of glabellar lines. The Nabota® formulation, which was used in the early South Korean studies, and which was commercialized by Daewoong, is slightly different than the formulation used in the studies sponsored by Evolus. The original Daewoong product was lyophilized and used a different human serum albumin that had not been approved by the FDA or EMA. With the approval of the Evolus vacuum dried product, Jeuveau®, Daewoong has harmonized its product to be the same as the Evolus product and the same as the product that has been used in clinical studies sponsored by us, and is currently used in our biosimilar analytical studies.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Evolus Clinical Development for Glabellar Lines</w:t>
      </w:r>
    </w:p>
    <w:p>
      <w:pPr>
        <w:spacing w:after="0" w:line="239" w:lineRule="exact"/>
        <w:rPr>
          <w:sz w:val="20"/>
          <w:szCs w:val="20"/>
          <w:color w:val="auto"/>
        </w:rPr>
      </w:pPr>
    </w:p>
    <w:p>
      <w:pPr>
        <w:ind w:right="40" w:firstLine="361"/>
        <w:spacing w:after="0" w:line="243" w:lineRule="auto"/>
        <w:rPr>
          <w:sz w:val="20"/>
          <w:szCs w:val="20"/>
          <w:color w:val="auto"/>
        </w:rPr>
      </w:pPr>
      <w:r>
        <w:rPr>
          <w:rFonts w:ascii="Times New Roman" w:cs="Times New Roman" w:eastAsia="Times New Roman" w:hAnsi="Times New Roman"/>
          <w:sz w:val="20"/>
          <w:szCs w:val="20"/>
          <w:color w:val="auto"/>
        </w:rPr>
        <w:t>In 2014, Evolus initiated a comprehensive five-study clinical development program for Jeuveau®, which consists of the same botulinum toxin complex as ABP-450, in the United States, the European Union and Canada to meet the regulatory requirements for a BLA in the United States, marketing authorization application, or MAA, in the European Union, and NDS, in Canada, for the cosmetic treatment of moderate to severe glabellar lines. The Evolus development program included three multicenter, randomized, double-blinded, controlled, single dose Phase 3 clinical studies and two open-label, multiple doses, long-term Phase 2 clinical studies. In each of the studies related to Jeuveau® for the treatment of glabellar lines, the Jeuveau® treatment group showed superiority over the placebo group and, where Botox® was included as an active control, the Jeuveau® treatment group was determined to be non- inferior to Botox®. Between September 2014 and August 2016, over 2,100 adult male and female subjects with moderate to severe glabellar lines at maximum frown participated in this program. Jeuveau® was approved for the cosmetic treatment of moderate to severe glabellar lines by the FDA in February 2019, and the same botulinum toxin was approved under the brand name Nuceiva® by Health Canada in August 2018 and by the European Commission in September 2019.</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Daewoong South Korean Clinical Development for Post-Stroke Upper Limb Spasticity</w:t>
      </w:r>
    </w:p>
    <w:p>
      <w:pPr>
        <w:spacing w:after="0" w:line="239" w:lineRule="exact"/>
        <w:rPr>
          <w:sz w:val="20"/>
          <w:szCs w:val="20"/>
          <w:color w:val="auto"/>
        </w:rPr>
      </w:pPr>
    </w:p>
    <w:p>
      <w:pPr>
        <w:ind w:right="500" w:firstLine="360"/>
        <w:spacing w:after="0" w:line="252" w:lineRule="auto"/>
        <w:rPr>
          <w:sz w:val="20"/>
          <w:szCs w:val="20"/>
          <w:color w:val="auto"/>
        </w:rPr>
      </w:pPr>
      <w:r>
        <w:rPr>
          <w:rFonts w:ascii="Times New Roman" w:cs="Times New Roman" w:eastAsia="Times New Roman" w:hAnsi="Times New Roman"/>
          <w:sz w:val="20"/>
          <w:szCs w:val="20"/>
          <w:color w:val="auto"/>
        </w:rPr>
        <w:t>Daewoong has conducted a post-stroke upper-limb spasticity Phase 3 clinical study in South Korea. It was a randomized, double- blind, multi-center, active drug controlled, Phase 3 clinical study to compare the safety and efficacy of up to 360 units of Nabota® to Botox®. Nabota® was found to be non-inferior to Botox® in this study. The result of this study was the basis for registration and approval of Nabota® with the MFDS for the post-stroke upper limb spasticity indication in South Korea.</w:t>
      </w:r>
    </w:p>
    <w:p>
      <w:pPr>
        <w:spacing w:after="0" w:line="193"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Patients diagnosed with a stroke at least six weeks prior to the start date of the study and found to be eligible based on the screening test result were randomized to either Nabota® or Botox®. Treatment consisted of intramuscular injections of up to 360 units to the wrist flexor, elbow flexor, finger flexor or thumb-in-palm; the total dose depended on the existence and severity of spasticity. In order to assess efficacy and safety after the treatment, follow-up visits were performed at four, eight and 12 weeks.</w:t>
      </w:r>
    </w:p>
    <w:p>
      <w:pPr>
        <w:spacing w:after="0" w:line="191" w:lineRule="exact"/>
        <w:rPr>
          <w:sz w:val="20"/>
          <w:szCs w:val="20"/>
          <w:color w:val="auto"/>
        </w:rPr>
      </w:pPr>
    </w:p>
    <w:p>
      <w:pPr>
        <w:ind w:right="60" w:firstLine="360"/>
        <w:spacing w:after="0" w:line="244" w:lineRule="auto"/>
        <w:rPr>
          <w:sz w:val="20"/>
          <w:szCs w:val="20"/>
          <w:color w:val="auto"/>
        </w:rPr>
      </w:pPr>
      <w:r>
        <w:rPr>
          <w:rFonts w:ascii="Times New Roman" w:cs="Times New Roman" w:eastAsia="Times New Roman" w:hAnsi="Times New Roman"/>
          <w:sz w:val="20"/>
          <w:szCs w:val="20"/>
          <w:color w:val="auto"/>
        </w:rPr>
        <w:t>The primary endpoint compared the evaluations of the changes in muscle tension values as measured by the Modified Ashworth Scale, or MAS, scores of wrist flexors at four weeks after the injection compared to the scores before treatment. The changes in the wrist flexor MAS assessed by the investigator at four weeks after treatment compared to the baseline in the per protocol analysis group for the primary efficacy assessment were -1.44±0.72 points and -1.46±0.77 points in the Nabota® and Botox® group, respectively. Both groups demonstrated statistically significant decreases (p&lt;0.0001) in muscle tension as measured on the MAS. The difference between the Nabota® and Botox® groups was 0.0129, with a 95% confidence interval (- 0.2062, 0.2319). Since the upper limit of the 97.5% one-sided confidence interval of the difference in changes was 0.2319, Nabota® was found to be non-inferior to Botox®. As a secondary endpoint, the average change in muscle tension as measured on the MAS of both groups as compared to baseline, when measured at week 8 and week 12, remained statistically significant at all points in time.</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780"/>
          </w:cols>
          <w:pgMar w:left="540" w:top="1349" w:right="560" w:bottom="0" w:gutter="0" w:footer="0" w:header="0"/>
          <w:type w:val="continuous"/>
        </w:sectPr>
      </w:pPr>
    </w:p>
    <w:bookmarkStart w:id="11" w:name="page12"/>
    <w:bookmarkEnd w:id="11"/>
    <w:p>
      <w:pPr>
        <w:ind w:right="160" w:firstLine="361"/>
        <w:spacing w:after="0" w:line="249" w:lineRule="auto"/>
        <w:rPr>
          <w:sz w:val="20"/>
          <w:szCs w:val="20"/>
          <w:color w:val="auto"/>
        </w:rPr>
      </w:pPr>
      <w:r>
        <w:rPr>
          <w:rFonts w:ascii="Times New Roman" w:cs="Times New Roman" w:eastAsia="Times New Roman" w:hAnsi="Times New Roman"/>
          <w:sz w:val="20"/>
          <w:szCs w:val="20"/>
          <w:color w:val="auto"/>
        </w:rPr>
        <w:t>After administration of the treatment, adverse events occurred in 19.6% of the subjects in the Nabota® group and 19.4% of the subjects in the Botox® group. Adverse drug reactions occurred in 3.1% of the subjects in the Nabota® group and in 4.1% of the subjects in the Botox® group. There was one serious adverse event, a radius fracture that occurred in the Nabota® group, which was assessed as not study drug-related. Botulinum neutralizing antibody testing was conducted using mouse bio-assay, and there were no “positive” subjects found in either group. Nabota® is now approved for post-stroke upper limb spasticity in South Korea.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Daewoong South Korean Clinical Development for Blepharospasm</w:t>
      </w:r>
    </w:p>
    <w:p>
      <w:pPr>
        <w:spacing w:after="0" w:line="239"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Daewoong has conducted a blepharospasm Phase 2/3 comparator study in South Korea. It was a randomized, double-blind, multi- center, active drug controlled, Phase 3 clinical study to compare the safety and efficacy of Nabota® to Botox®. This study was the basis for registration and approval of Nabota® with the MFDS for the blepharospasm indication in South Korea. Patients diagnosed with facial spasms prior to the start date of the study and found to be eligible based on the screening test result were randomized to either Nabota® or Botox®. Treatment consisted of intramuscular injections into the medial and lateral pretarsal orbicularis oculi of the upper lid and lateral pretarsal orbicularis oculi of the lower lid of up to 46.88± 9.46 units of Nabota® or 46.86± 9.46 units of Botox®; the total dose depended on the severity of the spasms. In order to assess efficacy and safety after the treatment, follow-up visits were performed at four, eight and 12 weeks.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43" w:lineRule="exact"/>
        <w:rPr>
          <w:sz w:val="20"/>
          <w:szCs w:val="20"/>
          <w:color w:val="auto"/>
        </w:rPr>
      </w:pPr>
    </w:p>
    <w:p>
      <w:pPr>
        <w:ind w:right="180" w:firstLine="360"/>
        <w:spacing w:after="0" w:line="252" w:lineRule="auto"/>
        <w:rPr>
          <w:sz w:val="20"/>
          <w:szCs w:val="20"/>
          <w:color w:val="auto"/>
        </w:rPr>
      </w:pPr>
      <w:r>
        <w:rPr>
          <w:rFonts w:ascii="Times New Roman" w:cs="Times New Roman" w:eastAsia="Times New Roman" w:hAnsi="Times New Roman"/>
          <w:sz w:val="20"/>
          <w:szCs w:val="20"/>
          <w:color w:val="auto"/>
        </w:rPr>
        <w:t>Our strategy is to develop and seek regulatory approval of ABP-450 as a biosimilar to Botox® for therapeutic indications in the United States, leveraging an analytical-first development approach under the FDA’s 351(k) pathway. We are focused on executing a disciplined development program designed to support a Section 351(k) BLA and, subject to regulatory feedback, seek potential extrapolation across the approved therapeutic indications for Botox®.</w:t>
      </w:r>
    </w:p>
    <w:p>
      <w:pPr>
        <w:spacing w:after="0" w:line="195" w:lineRule="exact"/>
        <w:rPr>
          <w:sz w:val="20"/>
          <w:szCs w:val="20"/>
          <w:color w:val="auto"/>
        </w:rPr>
      </w:pPr>
    </w:p>
    <w:p>
      <w:pPr>
        <w:ind w:right="120" w:firstLine="360"/>
        <w:spacing w:after="0" w:line="249" w:lineRule="auto"/>
        <w:rPr>
          <w:sz w:val="20"/>
          <w:szCs w:val="20"/>
          <w:color w:val="auto"/>
        </w:rPr>
      </w:pPr>
      <w:r>
        <w:rPr>
          <w:rFonts w:ascii="Times New Roman" w:cs="Times New Roman" w:eastAsia="Times New Roman" w:hAnsi="Times New Roman"/>
          <w:sz w:val="20"/>
          <w:szCs w:val="20"/>
          <w:color w:val="auto"/>
        </w:rPr>
        <w:t>We are advancing a comprehensive analytical similarity program to characterize ABP-450 relative to Botox®, including comparative structural and functional analyses. We have engaged with the FDA through the BPD program, including a BPD Type 2a meeting held in January 2026, and plan to continue regulatory engagement as we execute our development plan. The scope of any additional nonclinical or clinical evaluation will be informed by the results of our analytical program and further discussions with the FDA.</w:t>
      </w:r>
    </w:p>
    <w:p>
      <w:pPr>
        <w:spacing w:after="0" w:line="197" w:lineRule="exact"/>
        <w:rPr>
          <w:sz w:val="20"/>
          <w:szCs w:val="20"/>
          <w:color w:val="auto"/>
        </w:rPr>
      </w:pPr>
    </w:p>
    <w:p>
      <w:pPr>
        <w:ind w:right="80" w:firstLine="360"/>
        <w:spacing w:after="0" w:line="247" w:lineRule="auto"/>
        <w:rPr>
          <w:sz w:val="20"/>
          <w:szCs w:val="20"/>
          <w:color w:val="auto"/>
        </w:rPr>
      </w:pPr>
      <w:r>
        <w:rPr>
          <w:rFonts w:ascii="Times New Roman" w:cs="Times New Roman" w:eastAsia="Times New Roman" w:hAnsi="Times New Roman"/>
          <w:sz w:val="20"/>
          <w:szCs w:val="20"/>
          <w:color w:val="auto"/>
        </w:rPr>
        <w:t>The therapeutic botulinum toxin market has historically been dominated by Botox®, and alternative products have achieved limited adoption in part due to differences in dosing, administration, and product labeling relative to Botox®. These differences may require physicians to adjust established treatment paradigms and practice workflows and may introduce complexity in reimbursement and inventory management in a buy-and -bill setting. In addition, currently available products generally have narrower approved labels, which may further limit their use across indications and contribute to operational and reimbursement considerations for providers.</w:t>
      </w:r>
    </w:p>
    <w:p>
      <w:pPr>
        <w:spacing w:after="0" w:line="200" w:lineRule="exact"/>
        <w:rPr>
          <w:sz w:val="20"/>
          <w:szCs w:val="20"/>
          <w:color w:val="auto"/>
        </w:rPr>
      </w:pPr>
    </w:p>
    <w:p>
      <w:pPr>
        <w:ind w:right="40" w:firstLine="361"/>
        <w:spacing w:after="0" w:line="244" w:lineRule="auto"/>
        <w:rPr>
          <w:sz w:val="20"/>
          <w:szCs w:val="20"/>
          <w:color w:val="auto"/>
        </w:rPr>
      </w:pPr>
      <w:r>
        <w:rPr>
          <w:rFonts w:ascii="Times New Roman" w:cs="Times New Roman" w:eastAsia="Times New Roman" w:hAnsi="Times New Roman"/>
          <w:sz w:val="20"/>
          <w:szCs w:val="20"/>
          <w:color w:val="auto"/>
        </w:rPr>
        <w:t>ABP-450 is being developed as a biosimilar to Botox® under the FDA’s 351(k) pathway, which is intended to establish high similarity to and no clinically meaningful differences from the reference product. If ABP-450 is approved, we believe this pathway may support a product profile that aligns with Botox® across clinically relevant attributes, including dosing and administration, and, subject to regulatory review, may enable extrapolation across multiple therapeutic indications. We believe that a product designed to align with the reference product’s clinical profile and breadth of indications, and that can be positioned within existing reimbursement frameworks, including in a buy-and-bill setting, may enable physicians to integrate ABP-450, if approved, into established practice workflows without requiring changes to dosing or administration protocols. In this setting, reimbursement levels and acquisition costs may influence product selection, and a biosimilar alternative may provide payors with an additional contracting lever while offering providers the potential for predictable reimbursement and practice economics. These factors may reduce barriers to adoption and support patient access.</w:t>
      </w:r>
    </w:p>
    <w:p>
      <w:pPr>
        <w:spacing w:after="0" w:line="202"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If approved, we intend to commercialize ABP-450 in the United States within the physician-administered, buy-and-bill therapeutic botulinum toxin market. We hold exclusive development and distribution rights for therapeutic indications of ABP-450 in the United States, Canada, the European Union, the United Kingdom, and certain other international territories. While our initial focus is on the United States, we may pursue development and commercialization opportunities in select ex-U.S. markets directly or through strategic collaborations.</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780"/>
          </w:cols>
          <w:pgMar w:left="540" w:top="1349" w:right="560" w:bottom="0" w:gutter="0" w:footer="0" w:header="0"/>
          <w:type w:val="continuous"/>
        </w:sectPr>
      </w:pPr>
    </w:p>
    <w:bookmarkStart w:id="12" w:name="page13"/>
    <w:bookmarkEnd w:id="12"/>
    <w:p>
      <w:pPr>
        <w:ind w:right="20" w:firstLine="360"/>
        <w:spacing w:after="0" w:line="278" w:lineRule="auto"/>
        <w:rPr>
          <w:sz w:val="20"/>
          <w:szCs w:val="20"/>
          <w:color w:val="auto"/>
        </w:rPr>
      </w:pPr>
      <w:r>
        <w:rPr>
          <w:rFonts w:ascii="Times New Roman" w:cs="Times New Roman" w:eastAsia="Times New Roman" w:hAnsi="Times New Roman"/>
          <w:sz w:val="20"/>
          <w:szCs w:val="20"/>
          <w:color w:val="auto"/>
        </w:rPr>
        <w:t>Our ability to execute this strategy will depend on the successful advancement of our development program, continued regulatory engagement, and the availability of additional capital to support our operations and development activities.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believe the successful pursuit of our strategy will be driven by the following competitive strengths:</w:t>
      </w:r>
    </w:p>
    <w:p>
      <w:pPr>
        <w:spacing w:after="0" w:line="254" w:lineRule="exact"/>
        <w:rPr>
          <w:sz w:val="20"/>
          <w:szCs w:val="20"/>
          <w:color w:val="auto"/>
        </w:rPr>
      </w:pPr>
    </w:p>
    <w:p>
      <w:pPr>
        <w:ind w:left="720" w:right="40" w:hanging="360"/>
        <w:spacing w:after="0" w:line="242" w:lineRule="auto"/>
        <w:tabs>
          <w:tab w:leader="none" w:pos="72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Well-Established 900 kDa Botulinum Toxin Complex. </w:t>
      </w:r>
      <w:r>
        <w:rPr>
          <w:rFonts w:ascii="Times New Roman" w:cs="Times New Roman" w:eastAsia="Times New Roman" w:hAnsi="Times New Roman"/>
          <w:sz w:val="20"/>
          <w:szCs w:val="20"/>
          <w:color w:val="auto"/>
        </w:rPr>
        <w:t>ABP-450 is the same botulinum toxin complex that has been approved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regulatory authorities in the United States, the European Union, and Canada for a cosmetic indication. To receive these global approvals, Daewoong and Evolus have completed rigorous clinical development programs using Botox® as an active comparator and consistently showed that ABP-450 was non-inferior to Botox® at doses ranging from 20 units to 360 units. While we have not yet demonstrated non-inferiority of ABP-450 to Botox® with respect to therapeutic uses, we expect to design our studies, to evaluate whether one unit of ABP-450 will produce a highly similar effect as one unit of Botox®. ABP-450 has a similar 900 kDa molecular weighting to Botox®, which we believe will facilitate physician adoption of ABP-450, if approved, more rapidly and sustainably than other botulinum toxins that compete with therapeutic uses of Botox®. For example, Dysport® and Xeomin® have molecular weightings of 400 kDa and 150 kDa, respectively, and differences in molecular weightings can result in different clinical outcomes and require physicians to utilize different dilution ratios and injection techniques than they would use with Botox®.</w:t>
      </w:r>
    </w:p>
    <w:p>
      <w:pPr>
        <w:spacing w:after="0" w:line="98" w:lineRule="exact"/>
        <w:rPr>
          <w:rFonts w:ascii="Symbol" w:cs="Symbol" w:eastAsia="Symbol" w:hAnsi="Symbol"/>
          <w:sz w:val="20"/>
          <w:szCs w:val="20"/>
          <w:color w:val="auto"/>
        </w:rPr>
      </w:pPr>
    </w:p>
    <w:p>
      <w:pPr>
        <w:ind w:left="720" w:hanging="360"/>
        <w:spacing w:after="0" w:line="242" w:lineRule="auto"/>
        <w:tabs>
          <w:tab w:leader="none" w:pos="72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Differentiated Business Model Designed to Deliver Enhanced Value to Payors and Physicians. </w:t>
      </w:r>
      <w:r>
        <w:rPr>
          <w:rFonts w:ascii="Times New Roman" w:cs="Times New Roman" w:eastAsia="Times New Roman" w:hAnsi="Times New Roman"/>
          <w:sz w:val="20"/>
          <w:szCs w:val="20"/>
          <w:color w:val="auto"/>
        </w:rPr>
        <w:t>We believe our exclusive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focus on developing ABP-450 for therapeutic indications provides us with a competitive advantage against current and known prospective botulinum toxin competitors. We believe this focus will enable us to pursue submission of a Section 351(k) dedicated to therapeutic uses of ABP-450 that, if obtained, would allow physicians to receive consistent and favorable reimbursement from payors, while also providing us with the flexibility to provide economic incentives, including rebates, to payors and/or providers. Market competitors that receive marketing approval for their botulinum toxin products have traditionally obtained an original BLA for their initial indication, with follow-on supplemental BLAs as they expand their product labels to include cosmetic and therapeutic indications. As a consequence of that structure, the ASPs for therapeutic reimbursement are negatively affected by promotional activity associated with cosmetic pricing. If we receive approval of a Section 351(k) BLA, we believe that we will not have a negative pricing influence from lower-priced cosmetic indications, which should allow us to uniquely manage our ASP in a manner that enhances value to payors and physicians.</w:t>
      </w:r>
    </w:p>
    <w:p>
      <w:pPr>
        <w:spacing w:after="0" w:line="98" w:lineRule="exact"/>
        <w:rPr>
          <w:rFonts w:ascii="Symbol" w:cs="Symbol" w:eastAsia="Symbol" w:hAnsi="Symbol"/>
          <w:sz w:val="20"/>
          <w:szCs w:val="20"/>
          <w:color w:val="auto"/>
        </w:rPr>
      </w:pPr>
    </w:p>
    <w:p>
      <w:pPr>
        <w:ind w:left="720" w:right="20" w:hanging="359"/>
        <w:spacing w:after="0" w:line="242" w:lineRule="auto"/>
        <w:tabs>
          <w:tab w:leader="none" w:pos="72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Management Team with Significant and Relevant Experience and Expertise in the Therapeutic Use of Botulinum Toxins</w:t>
      </w:r>
      <w:r>
        <w:rPr>
          <w:rFonts w:ascii="Times New Roman" w:cs="Times New Roman" w:eastAsia="Times New Roman" w:hAnsi="Times New Roman"/>
          <w:sz w:val="20"/>
          <w:szCs w:val="20"/>
          <w:color w:val="auto"/>
        </w:rPr>
        <w:t>.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team has extensive experience in the botulinum toxin market, in the analytical and clinical development of biosimilar products, in development, market launch and commercialization of major medical products, in the execution and integration of business development transactions, and a deep understanding of the regulatory environment of the healthcare markets. Our management team also has a proven history of raising financing in support of our botulinum toxin product candidates, including raising $203 million for investment in AEON since 2019, inclusive of the $6.0 million gross proceeds related to the PIPE financing, $1.8 million of which was received at the First Closing in November 2025 and $4.2 million was received at the Second Closing in January 2026. For more information, see discussion of the offering within “</w:t>
      </w:r>
      <w:r>
        <w:rPr>
          <w:rFonts w:ascii="Times New Roman" w:cs="Times New Roman" w:eastAsia="Times New Roman" w:hAnsi="Times New Roman"/>
          <w:sz w:val="20"/>
          <w:szCs w:val="20"/>
          <w:i w:val="1"/>
          <w:iCs w:val="1"/>
          <w:color w:val="auto"/>
        </w:rPr>
        <w:t>Management’s Discussion and Analysis of Financial Condition and Results of Operations—Liquidity and Capital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Resources</w:t>
      </w:r>
      <w:r>
        <w:rPr>
          <w:rFonts w:ascii="Times New Roman" w:cs="Times New Roman" w:eastAsia="Times New Roman" w:hAnsi="Times New Roman"/>
          <w:sz w:val="20"/>
          <w:szCs w:val="20"/>
          <w:color w:val="auto"/>
        </w:rPr>
        <w: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3" w:lineRule="exact"/>
        <w:rPr>
          <w:sz w:val="20"/>
          <w:szCs w:val="20"/>
          <w:color w:val="auto"/>
        </w:rPr>
      </w:pPr>
    </w:p>
    <w:p>
      <w:pPr>
        <w:ind w:right="180" w:firstLine="360"/>
        <w:spacing w:after="0" w:line="278" w:lineRule="auto"/>
        <w:rPr>
          <w:sz w:val="20"/>
          <w:szCs w:val="20"/>
          <w:color w:val="auto"/>
        </w:rPr>
      </w:pPr>
      <w:r>
        <w:rPr>
          <w:rFonts w:ascii="Times New Roman" w:cs="Times New Roman" w:eastAsia="Times New Roman" w:hAnsi="Times New Roman"/>
          <w:sz w:val="19"/>
          <w:szCs w:val="19"/>
          <w:color w:val="auto"/>
        </w:rPr>
        <w:t>Daewoong is our sole supplier of ABP-450. Daewoong has over 70 years of experience manufacturing pharmaceutical products and is one of the largest pharmaceutical drug companies in South Korea. Daewoong constructed a facility in South Korea for the purposes of producing ABP-450 drug product, which was purpose-built in effort to comply with FDA and EMA regulations. We</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760"/>
          </w:cols>
          <w:pgMar w:left="540" w:top="1349" w:right="580" w:bottom="0" w:gutter="0" w:footer="0" w:header="0"/>
          <w:type w:val="continuous"/>
        </w:sectPr>
      </w:pPr>
    </w:p>
    <w:bookmarkStart w:id="13" w:name="page14"/>
    <w:bookmarkEnd w:id="13"/>
    <w:p>
      <w:pPr>
        <w:ind w:left="2" w:right="60"/>
        <w:spacing w:after="0" w:line="249" w:lineRule="auto"/>
        <w:rPr>
          <w:sz w:val="20"/>
          <w:szCs w:val="20"/>
          <w:color w:val="auto"/>
        </w:rPr>
      </w:pPr>
      <w:r>
        <w:rPr>
          <w:rFonts w:ascii="Times New Roman" w:cs="Times New Roman" w:eastAsia="Times New Roman" w:hAnsi="Times New Roman"/>
          <w:sz w:val="20"/>
          <w:szCs w:val="20"/>
          <w:color w:val="auto"/>
        </w:rPr>
        <w:t>believe this facility will be sufficient to meet demand for ABP-450 for the foreseeable future. The FDA conducted a cGMP and pre-approval inspection of the facility from November 8 to November 17, 2017. The United Kingdom Medicines and Healthcare Products Regulatory Agency also completed an inspection of the manufacturing facility in February 2018 in connection with Evolus’ MAA for Jeuveau®. Evolus’ FDA approval of Jeuveau® in February 2019 included approval to manufacture Jeuveau® at Daewoong’s facility. A separate pre-licensure inspection may be required for any BLA we submit for any of our product candidates.</w:t>
      </w:r>
    </w:p>
    <w:p>
      <w:pPr>
        <w:spacing w:after="0" w:line="198" w:lineRule="exact"/>
        <w:rPr>
          <w:sz w:val="20"/>
          <w:szCs w:val="20"/>
          <w:color w:val="auto"/>
        </w:rPr>
      </w:pPr>
    </w:p>
    <w:p>
      <w:pPr>
        <w:ind w:left="2" w:right="60" w:firstLine="360"/>
        <w:spacing w:after="0" w:line="249" w:lineRule="auto"/>
        <w:rPr>
          <w:sz w:val="20"/>
          <w:szCs w:val="20"/>
          <w:color w:val="auto"/>
        </w:rPr>
      </w:pPr>
      <w:r>
        <w:rPr>
          <w:rFonts w:ascii="Times New Roman" w:cs="Times New Roman" w:eastAsia="Times New Roman" w:hAnsi="Times New Roman"/>
          <w:sz w:val="20"/>
          <w:szCs w:val="20"/>
          <w:color w:val="auto"/>
        </w:rPr>
        <w:t>While Jeuveau® and ABP-450 are both manufactured by Daewoong, both we and Evolus retain separate, independent oversight rights related to Daewoong’s compliance with cGMP regulations, and all other applicable regulatory guidelines and requirements. Evolus retains independent oversight and responsibility for the quality and pharmacovigilance of Jeuveau® under its BLA and related international approvals; similarly, we retain independent oversight and responsibility for the quality and pharmacovigilance of ABP-450, if approved.</w:t>
      </w:r>
    </w:p>
    <w:p>
      <w:pPr>
        <w:spacing w:after="0" w:line="197" w:lineRule="exact"/>
        <w:rPr>
          <w:sz w:val="20"/>
          <w:szCs w:val="20"/>
          <w:color w:val="auto"/>
        </w:rPr>
      </w:pPr>
    </w:p>
    <w:p>
      <w:pPr>
        <w:ind w:left="2" w:right="160" w:firstLine="360"/>
        <w:spacing w:after="0" w:line="258" w:lineRule="auto"/>
        <w:rPr>
          <w:sz w:val="20"/>
          <w:szCs w:val="20"/>
          <w:color w:val="auto"/>
        </w:rPr>
      </w:pPr>
      <w:r>
        <w:rPr>
          <w:rFonts w:ascii="Times New Roman" w:cs="Times New Roman" w:eastAsia="Times New Roman" w:hAnsi="Times New Roman"/>
          <w:sz w:val="20"/>
          <w:szCs w:val="20"/>
          <w:color w:val="auto"/>
        </w:rPr>
        <w:t>Daewoong manufactures the ABP-450 drug substance in a separate facility on the same campus. The manufacture of ABP-450 drug substance is based on the fermentation of Daewoong’s C. botulinum cell line, followed by isolation and purification of the drug substance.</w:t>
      </w:r>
    </w:p>
    <w:p>
      <w:pPr>
        <w:spacing w:after="0" w:line="188" w:lineRule="exact"/>
        <w:rPr>
          <w:sz w:val="20"/>
          <w:szCs w:val="20"/>
          <w:color w:val="auto"/>
        </w:rPr>
      </w:pPr>
    </w:p>
    <w:p>
      <w:pPr>
        <w:ind w:left="2" w:right="80" w:firstLine="361"/>
        <w:spacing w:after="0" w:line="247" w:lineRule="auto"/>
        <w:rPr>
          <w:sz w:val="20"/>
          <w:szCs w:val="20"/>
          <w:color w:val="auto"/>
        </w:rPr>
      </w:pPr>
      <w:r>
        <w:rPr>
          <w:rFonts w:ascii="Times New Roman" w:cs="Times New Roman" w:eastAsia="Times New Roman" w:hAnsi="Times New Roman"/>
          <w:sz w:val="20"/>
          <w:szCs w:val="20"/>
          <w:color w:val="auto"/>
        </w:rPr>
        <w:t>Daewoong is a defendant in several lawsuits brought by Medytox, alleging, among other things, that Daewoong stole Medytox’s botulinum toxin bacterial strain and misappropriated trade secrets of Medytox, including those used by Daewoong to manufacture ABP-450. In June 2021, we settled all outstanding or potential claims between AEON and Medytox and entered into a non-exclusive, royalty -bearing, irrevocable license that permits us to commercialize and manufacture ABP-450. See “</w:t>
      </w:r>
      <w:r>
        <w:rPr>
          <w:rFonts w:ascii="Times New Roman" w:cs="Times New Roman" w:eastAsia="Times New Roman" w:hAnsi="Times New Roman"/>
          <w:sz w:val="20"/>
          <w:szCs w:val="20"/>
          <w:i w:val="1"/>
          <w:iCs w:val="1"/>
          <w:color w:val="auto"/>
        </w:rPr>
        <w:t>Risk Factors — Risks Related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 Our Reliance on Third Parties — A material breach by us of the terms of our license and settlement agreement with Medytox, Inc. could have a material adverse effect on our business.</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Daewoong License and Supply Agreement</w:t>
      </w:r>
    </w:p>
    <w:p>
      <w:pPr>
        <w:spacing w:after="0" w:line="204" w:lineRule="exact"/>
        <w:rPr>
          <w:sz w:val="20"/>
          <w:szCs w:val="20"/>
          <w:color w:val="auto"/>
        </w:rPr>
      </w:pPr>
    </w:p>
    <w:p>
      <w:pPr>
        <w:ind w:left="2" w:firstLine="360"/>
        <w:spacing w:after="0" w:line="249" w:lineRule="auto"/>
        <w:rPr>
          <w:sz w:val="20"/>
          <w:szCs w:val="20"/>
          <w:color w:val="auto"/>
        </w:rPr>
      </w:pPr>
      <w:r>
        <w:rPr>
          <w:rFonts w:ascii="Times New Roman" w:cs="Times New Roman" w:eastAsia="Times New Roman" w:hAnsi="Times New Roman"/>
          <w:sz w:val="20"/>
          <w:szCs w:val="20"/>
          <w:color w:val="auto"/>
        </w:rPr>
        <w:t>On December 20, 2019, we entered into the Daewoong Agreement, pursuant to which Daewoong agreed to manufacture and supply ABP-450 and grant us an exclusive license for therapeutic indications to import, distribute, promote, market, develop, offer for sale, and otherwise commercialize or exploit ABP-450 in the United States and its territories and possessions, the European Union, the United Kingdom, Canada, Australia, Russia, the Commonwealth of Independent States, and South Africa, which we refer to collectively as the “covered territories.”</w:t>
      </w:r>
    </w:p>
    <w:p>
      <w:pPr>
        <w:spacing w:after="0" w:line="157" w:lineRule="exact"/>
        <w:rPr>
          <w:sz w:val="20"/>
          <w:szCs w:val="20"/>
          <w:color w:val="auto"/>
        </w:rPr>
      </w:pPr>
    </w:p>
    <w:p>
      <w:pPr>
        <w:ind w:left="2" w:firstLine="361"/>
        <w:spacing w:after="0" w:line="244" w:lineRule="auto"/>
        <w:rPr>
          <w:sz w:val="20"/>
          <w:szCs w:val="20"/>
          <w:color w:val="auto"/>
        </w:rPr>
      </w:pPr>
      <w:r>
        <w:rPr>
          <w:rFonts w:ascii="Times New Roman" w:cs="Times New Roman" w:eastAsia="Times New Roman" w:hAnsi="Times New Roman"/>
          <w:sz w:val="20"/>
          <w:szCs w:val="20"/>
          <w:color w:val="auto"/>
        </w:rPr>
        <w:t>Daewoong has agreed to exclusively supply us with, and we have agreed to exclusively obtain from Daewoong all of our requirements of ABP-450 at agreed-upon transfer prices, with no milestone or royalty payments and no minimum purchase requirements. Daewoong is responsible for all costs related to the manufacturing of ABP-450, including costs related to the operation and upkeep of its manufacturing facility, and we are responsible for all costs related to obtaining and maintaining regulatory approval, including clinical expenses, and commercialization of ABP-450. We are obligated to use commercially reasonable efforts to: (i) obtain all regulatory approvals necessary for ABP-450 to be marketed and commercialized in the covered territories for therapeutic indications and (ii) commercialize ABP-450 in the covered territories for therapeutic indications. During the term of the Daewoong Agreement, we cannot purchase, sell or distribute any injectable botulinum toxin that is launched in the covered territories after the effective date of the Daewoong Agreement other than ABP-450 in the covered territories or sell ABP-450 outside a covered territory.</w:t>
      </w:r>
    </w:p>
    <w:p>
      <w:pPr>
        <w:spacing w:after="0" w:line="165" w:lineRule="exact"/>
        <w:rPr>
          <w:sz w:val="20"/>
          <w:szCs w:val="20"/>
          <w:color w:val="auto"/>
        </w:rPr>
      </w:pPr>
    </w:p>
    <w:p>
      <w:pPr>
        <w:ind w:left="2" w:right="80" w:firstLine="360"/>
        <w:spacing w:after="0" w:line="259" w:lineRule="auto"/>
        <w:rPr>
          <w:sz w:val="20"/>
          <w:szCs w:val="20"/>
          <w:color w:val="auto"/>
        </w:rPr>
      </w:pPr>
      <w:r>
        <w:rPr>
          <w:rFonts w:ascii="Times New Roman" w:cs="Times New Roman" w:eastAsia="Times New Roman" w:hAnsi="Times New Roman"/>
          <w:sz w:val="20"/>
          <w:szCs w:val="20"/>
          <w:color w:val="auto"/>
        </w:rPr>
        <w:t>Under the Daewoong Agreement, Daewoong grants us an exclusive, irrevocable, sub -licensable, assignable, fully paid-up license during the term to use Daewoong’s trademarks to Nabota® in our commercialization and related obligations surrounding marketing authorizations of ABP-450 for therapeutic uses in the covered territories.</w:t>
      </w:r>
    </w:p>
    <w:p>
      <w:pPr>
        <w:spacing w:after="0" w:line="146" w:lineRule="exact"/>
        <w:rPr>
          <w:sz w:val="20"/>
          <w:szCs w:val="20"/>
          <w:color w:val="auto"/>
        </w:rPr>
      </w:pPr>
    </w:p>
    <w:p>
      <w:pPr>
        <w:ind w:left="2" w:right="340" w:firstLine="360"/>
        <w:spacing w:after="0" w:line="254" w:lineRule="auto"/>
        <w:rPr>
          <w:sz w:val="20"/>
          <w:szCs w:val="20"/>
          <w:color w:val="auto"/>
        </w:rPr>
      </w:pPr>
      <w:r>
        <w:rPr>
          <w:rFonts w:ascii="Times New Roman" w:cs="Times New Roman" w:eastAsia="Times New Roman" w:hAnsi="Times New Roman"/>
          <w:sz w:val="20"/>
          <w:szCs w:val="20"/>
          <w:color w:val="auto"/>
        </w:rPr>
        <w:t>The initial term of the Daewoong Agreement is from December 20, 2019 to the later of (i) the fifth anniversary of the grant of approval from the relevant governmental authority necessary to market and sell ABP-450 in the covered territories or</w:t>
      </w:r>
    </w:p>
    <w:p>
      <w:pPr>
        <w:spacing w:after="0" w:line="1" w:lineRule="exact"/>
        <w:rPr>
          <w:sz w:val="20"/>
          <w:szCs w:val="20"/>
          <w:color w:val="auto"/>
        </w:rPr>
      </w:pPr>
    </w:p>
    <w:p>
      <w:pPr>
        <w:ind w:left="2" w:hanging="2"/>
        <w:spacing w:after="0" w:line="239" w:lineRule="auto"/>
        <w:tabs>
          <w:tab w:leader="none" w:pos="29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December 20, 2029, and automatically renews for unlimited additional three-year terms thereafter, provided the Daewoong Agreement is not earlier terminated. The Daewoong Agreement will terminate upon written notice (A) by either us or Daewoong upon a continuing default that remains uncured within 90 days (or 30 days for a payment default) by the other party, or (B) immediately upon written notice if the breach is not capable of cure; (C) upon any of the following without notice: (i) our bankruptcy, insolvency or a petition for either, (ii) our assignment of our business or the Daewoong Agreement in whole or in part for the benefit of creditors,</w:t>
      </w:r>
    </w:p>
    <w:p>
      <w:pPr>
        <w:spacing w:after="0" w:line="4" w:lineRule="exact"/>
        <w:rPr>
          <w:rFonts w:ascii="Times New Roman" w:cs="Times New Roman" w:eastAsia="Times New Roman" w:hAnsi="Times New Roman"/>
          <w:sz w:val="20"/>
          <w:szCs w:val="20"/>
          <w:color w:val="auto"/>
        </w:rPr>
      </w:pPr>
    </w:p>
    <w:p>
      <w:pPr>
        <w:ind w:left="2" w:right="360"/>
        <w:spacing w:after="0" w:line="243" w:lineRule="auto"/>
        <w:tabs>
          <w:tab w:leader="none" w:pos="35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appointment of a receiver over any of our assets not vacated in sixty days, or (iv) filing of any other petition based upon our alleged bankruptcy or insolvency not dismissed within ninety days, or (D) our failure to commercialize or conduct clinical studies related to ABP-450 for a six month period. In the event the license is terminated for either of the reasons listed in (C) or (D) of the foregoing</w:t>
      </w:r>
    </w:p>
    <w:p>
      <w:pPr>
        <w:sectPr>
          <w:pgSz w:w="11880" w:h="15480" w:orient="portrait"/>
          <w:cols w:equalWidth="0" w:num="1">
            <w:col w:w="10782"/>
          </w:cols>
          <w:pgMar w:left="538" w:top="1349" w:right="56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782"/>
          </w:cols>
          <w:pgMar w:left="538" w:top="1349" w:right="560" w:bottom="0" w:gutter="0" w:footer="0" w:header="0"/>
          <w:type w:val="continuous"/>
        </w:sectPr>
      </w:pPr>
    </w:p>
    <w:bookmarkStart w:id="14" w:name="page15"/>
    <w:bookmarkEnd w:id="14"/>
    <w:p>
      <w:pPr>
        <w:jc w:val="both"/>
        <w:ind w:right="180"/>
        <w:spacing w:after="0" w:line="259" w:lineRule="auto"/>
        <w:rPr>
          <w:sz w:val="20"/>
          <w:szCs w:val="20"/>
          <w:color w:val="auto"/>
        </w:rPr>
      </w:pPr>
      <w:r>
        <w:rPr>
          <w:rFonts w:ascii="Times New Roman" w:cs="Times New Roman" w:eastAsia="Times New Roman" w:hAnsi="Times New Roman"/>
          <w:sz w:val="20"/>
          <w:szCs w:val="20"/>
          <w:color w:val="auto"/>
        </w:rPr>
        <w:t>sentence, Daewoong will have the right to buy our intellectual property and data, which represents the majority of AEON’s valuable assets, for one dollar ($1.00), which right will terminate in the event Daewoong sells more than fifty percent (50%) of its ownership (inclusive of shares received in connection with the conversion of convertible notes).</w:t>
      </w:r>
    </w:p>
    <w:p>
      <w:pPr>
        <w:spacing w:after="0" w:line="185" w:lineRule="exact"/>
        <w:rPr>
          <w:sz w:val="20"/>
          <w:szCs w:val="20"/>
          <w:color w:val="auto"/>
        </w:rPr>
      </w:pPr>
    </w:p>
    <w:p>
      <w:pPr>
        <w:ind w:right="120" w:firstLine="360"/>
        <w:spacing w:after="0" w:line="249" w:lineRule="auto"/>
        <w:rPr>
          <w:sz w:val="20"/>
          <w:szCs w:val="20"/>
          <w:color w:val="auto"/>
        </w:rPr>
      </w:pPr>
      <w:r>
        <w:rPr>
          <w:rFonts w:ascii="Times New Roman" w:cs="Times New Roman" w:eastAsia="Times New Roman" w:hAnsi="Times New Roman"/>
          <w:sz w:val="20"/>
          <w:szCs w:val="20"/>
          <w:color w:val="auto"/>
        </w:rPr>
        <w:t>We will be the sole owner of any marketing authorization we pursue related to therapeutic indications of ABP-450 in a covered territory. This will include ownership of any BLA that we may submit to the FDA, MAA that we may submit to the EMA, NDS that we may submit to Health Canada, and any other approvals we receive in a covered territory. However, if we do not renew the Daewoong Agreement or upon termination of the Daewoong Agreement due to a breach by us, we are obligated to transfer our rights to Daewoong.</w:t>
      </w:r>
    </w:p>
    <w:p>
      <w:pPr>
        <w:spacing w:after="0" w:line="198" w:lineRule="exact"/>
        <w:rPr>
          <w:sz w:val="20"/>
          <w:szCs w:val="20"/>
          <w:color w:val="auto"/>
        </w:rPr>
      </w:pPr>
    </w:p>
    <w:p>
      <w:pPr>
        <w:ind w:right="100" w:firstLine="360"/>
        <w:spacing w:after="0" w:line="247" w:lineRule="auto"/>
        <w:rPr>
          <w:sz w:val="20"/>
          <w:szCs w:val="20"/>
          <w:color w:val="auto"/>
        </w:rPr>
      </w:pPr>
      <w:r>
        <w:rPr>
          <w:rFonts w:ascii="Times New Roman" w:cs="Times New Roman" w:eastAsia="Times New Roman" w:hAnsi="Times New Roman"/>
          <w:sz w:val="20"/>
          <w:szCs w:val="20"/>
          <w:color w:val="auto"/>
        </w:rPr>
        <w:t>The Daewoong Agreement also provides that Daewoong will indemnify us for any losses arising out of Daewoong’s willful misconduct or gross negligence in performing its obligations under the agreement, Daewoong’s breach of the agreement, or any allegation that ABP-450 or Daewoong’s trademark infringes or misappropriates the rights of a third party, except, in each case, as a result of our willful misconduct or gross negligence. We have agreed to indemnify Daewoong for any losses arising out of our willful misconduct or gross negligence in performing our obligations under the agreement, or our breach of the agreement, except, in each case, as a result of Daewoong’s willful misconduct or gross negligence.</w:t>
      </w:r>
    </w:p>
    <w:p>
      <w:pPr>
        <w:spacing w:after="0" w:line="199" w:lineRule="exact"/>
        <w:rPr>
          <w:sz w:val="20"/>
          <w:szCs w:val="20"/>
          <w:color w:val="auto"/>
        </w:rPr>
      </w:pPr>
    </w:p>
    <w:p>
      <w:pPr>
        <w:jc w:val="both"/>
        <w:ind w:right="140" w:firstLine="360"/>
        <w:spacing w:after="0" w:line="253" w:lineRule="auto"/>
        <w:rPr>
          <w:sz w:val="20"/>
          <w:szCs w:val="20"/>
          <w:color w:val="auto"/>
        </w:rPr>
      </w:pPr>
      <w:r>
        <w:rPr>
          <w:rFonts w:ascii="Times New Roman" w:cs="Times New Roman" w:eastAsia="Times New Roman" w:hAnsi="Times New Roman"/>
          <w:sz w:val="20"/>
          <w:szCs w:val="20"/>
          <w:color w:val="auto"/>
        </w:rPr>
        <w:t>For more information associated with this and other risks, please see “</w:t>
      </w:r>
      <w:r>
        <w:rPr>
          <w:rFonts w:ascii="Times New Roman" w:cs="Times New Roman" w:eastAsia="Times New Roman" w:hAnsi="Times New Roman"/>
          <w:sz w:val="20"/>
          <w:szCs w:val="20"/>
          <w:i w:val="1"/>
          <w:iCs w:val="1"/>
          <w:color w:val="auto"/>
        </w:rPr>
        <w:t>Risk Factors — Risks Related to Intellectual Property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Risks Related to Our Reliance on Third Parties</w:t>
      </w:r>
      <w:r>
        <w:rPr>
          <w:rFonts w:ascii="Times New Roman" w:cs="Times New Roman" w:eastAsia="Times New Roman" w:hAnsi="Times New Roman"/>
          <w:sz w:val="20"/>
          <w:szCs w:val="20"/>
          <w:color w:val="auto"/>
        </w:rPr>
        <w:t>.” Following the settlement between us and Medytox, on July 29, 2022, we amended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Daewoong Agreement and agreed to release any potential indemnification claims associated with the Company’s settlement with Medytox.</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4" w:lineRule="exact"/>
        <w:rPr>
          <w:sz w:val="20"/>
          <w:szCs w:val="20"/>
          <w:color w:val="auto"/>
        </w:rPr>
      </w:pPr>
    </w:p>
    <w:p>
      <w:pPr>
        <w:ind w:right="60" w:firstLine="360"/>
        <w:spacing w:after="0" w:line="247" w:lineRule="auto"/>
        <w:rPr>
          <w:sz w:val="20"/>
          <w:szCs w:val="20"/>
          <w:color w:val="auto"/>
        </w:rPr>
      </w:pPr>
      <w:r>
        <w:rPr>
          <w:rFonts w:ascii="Times New Roman" w:cs="Times New Roman" w:eastAsia="Times New Roman" w:hAnsi="Times New Roman"/>
          <w:sz w:val="20"/>
          <w:szCs w:val="20"/>
          <w:color w:val="auto"/>
        </w:rPr>
        <w:t>Our success depends, in part, on our ability to obtain and maintain intellectual property protection related to our product candidate. Our ability to operate without infringing on the proprietary or intellectual property rights of others and to prevent others from infringing our proprietary and intellectual property rights will be important to our performance. We protect, and will continue to protect, our proprietary technology and methods by, among other methods, filing United States and foreign patent applications related to our proprietary technology, inventions, methods of use, and improvements that are important to the development and implementation of our business as well as by maintaining trade secret protection and through other confidentiality procedures.</w:t>
      </w:r>
    </w:p>
    <w:p>
      <w:pPr>
        <w:spacing w:after="0" w:line="200"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Under the Daewoong Agreement, Daewoong agreed to exclusively manufacture and supply ABP-450 to us and grant us an exclusive license for therapeutic indications to import, distribute, promote, market, develop, offer for sale and otherwise commercialize and exploit ABP-450 in the covered territories. Daewoong has a United States patent on its proprietary botulinum toxin manufacturing process for ABP-450.</w:t>
      </w:r>
    </w:p>
    <w:p>
      <w:pPr>
        <w:spacing w:after="0" w:line="193" w:lineRule="exact"/>
        <w:rPr>
          <w:sz w:val="20"/>
          <w:szCs w:val="20"/>
          <w:color w:val="auto"/>
        </w:rPr>
      </w:pPr>
    </w:p>
    <w:p>
      <w:pPr>
        <w:ind w:right="40" w:firstLine="360"/>
        <w:spacing w:after="0" w:line="243" w:lineRule="auto"/>
        <w:rPr>
          <w:sz w:val="20"/>
          <w:szCs w:val="20"/>
          <w:color w:val="auto"/>
        </w:rPr>
      </w:pPr>
      <w:r>
        <w:rPr>
          <w:rFonts w:ascii="Times New Roman" w:cs="Times New Roman" w:eastAsia="Times New Roman" w:hAnsi="Times New Roman"/>
          <w:sz w:val="20"/>
          <w:szCs w:val="20"/>
          <w:color w:val="auto"/>
        </w:rPr>
        <w:t>In addition to our reliance on patent protection for ABP-450 and future product candidates, we also rely on our and our licensors’ trade secrets, know -how, confidentiality agreements and continuing technological innovation to develop and maintain our competitive position. Although we take steps to protect our proprietary information and trade secrets, including through contractual means with our employees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It is our policy to require our employees, consultants, and other third parties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of by the individual during the course of employment, and which relate to or are reasonably capable of being used in our current or planned business or research and development (“R&amp;D”) are our exclusive property. However, such agreements and any security policies may be breached and we may not have adequate remedies for such breaches. For more information, see “</w:t>
      </w:r>
      <w:r>
        <w:rPr>
          <w:rFonts w:ascii="Times New Roman" w:cs="Times New Roman" w:eastAsia="Times New Roman" w:hAnsi="Times New Roman"/>
          <w:sz w:val="20"/>
          <w:szCs w:val="20"/>
          <w:i w:val="1"/>
          <w:iCs w:val="1"/>
          <w:color w:val="auto"/>
        </w:rPr>
        <w:t>Risk Factors — Risks Related to Intellectual Property</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3" w:lineRule="exact"/>
        <w:rPr>
          <w:sz w:val="20"/>
          <w:szCs w:val="20"/>
          <w:color w:val="auto"/>
        </w:rPr>
      </w:pPr>
    </w:p>
    <w:p>
      <w:pPr>
        <w:ind w:right="100" w:firstLine="360"/>
        <w:spacing w:after="0" w:line="305" w:lineRule="auto"/>
        <w:rPr>
          <w:sz w:val="20"/>
          <w:szCs w:val="20"/>
          <w:color w:val="auto"/>
        </w:rPr>
      </w:pPr>
      <w:r>
        <w:rPr>
          <w:rFonts w:ascii="Times New Roman" w:cs="Times New Roman" w:eastAsia="Times New Roman" w:hAnsi="Times New Roman"/>
          <w:sz w:val="19"/>
          <w:szCs w:val="19"/>
          <w:color w:val="auto"/>
        </w:rPr>
        <w:t>The pharmaceutical industry is highly competitive and requires an ongoing, extensive search for technological innovation. It also requires, among other things, the ability to effectively discover, develop, test and obtain regulatory approvals for novel products, as</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780"/>
          </w:cols>
          <w:pgMar w:left="540" w:top="1349" w:right="560" w:bottom="0" w:gutter="0" w:footer="0" w:header="0"/>
          <w:type w:val="continuous"/>
        </w:sectPr>
      </w:pPr>
    </w:p>
    <w:bookmarkStart w:id="15" w:name="page16"/>
    <w:bookmarkEnd w:id="15"/>
    <w:p>
      <w:pPr>
        <w:ind w:right="140"/>
        <w:spacing w:after="0" w:line="246" w:lineRule="auto"/>
        <w:rPr>
          <w:sz w:val="20"/>
          <w:szCs w:val="20"/>
          <w:color w:val="auto"/>
        </w:rPr>
      </w:pPr>
      <w:r>
        <w:rPr>
          <w:rFonts w:ascii="Times New Roman" w:cs="Times New Roman" w:eastAsia="Times New Roman" w:hAnsi="Times New Roman"/>
          <w:sz w:val="20"/>
          <w:szCs w:val="20"/>
          <w:color w:val="auto"/>
        </w:rPr>
        <w:t>well as the ability to effectively commercialize, market and promote approved products, including communicating the effectiveness, safety and value of products to actual and prospective customers and medical professionals. Numerous companies are engaged in the development, manufacture and marketing of products competitive with those that we are developing. Many of our competitors have greater resources than we have. This enables them, among other things, to leverage their financial resources to make greater R&amp;D, marketing and promotion investments than us. Our competitors may also have more experience and expertise in obtaining marketing approvals from the FDA and other regulatory authorities. Our technologies and products may be rendered obsolete or uneconomical by technological advances or entirely different approaches developed by one or more of our competitors.</w:t>
      </w:r>
    </w:p>
    <w:p>
      <w:pPr>
        <w:spacing w:after="0" w:line="201" w:lineRule="exact"/>
        <w:rPr>
          <w:sz w:val="20"/>
          <w:szCs w:val="20"/>
          <w:color w:val="auto"/>
        </w:rPr>
      </w:pPr>
    </w:p>
    <w:p>
      <w:pPr>
        <w:ind w:right="200" w:firstLine="360"/>
        <w:spacing w:after="0" w:line="252" w:lineRule="auto"/>
        <w:rPr>
          <w:sz w:val="20"/>
          <w:szCs w:val="20"/>
          <w:color w:val="auto"/>
        </w:rPr>
      </w:pPr>
      <w:r>
        <w:rPr>
          <w:rFonts w:ascii="Times New Roman" w:cs="Times New Roman" w:eastAsia="Times New Roman" w:hAnsi="Times New Roman"/>
          <w:sz w:val="20"/>
          <w:szCs w:val="20"/>
          <w:color w:val="auto"/>
        </w:rPr>
        <w:t>As more companies develop new intellectual property in our markets, the possibility of a competitor acquiring patent or other rights that may limit our products or potential products increases, which could lead to litigation. In addition to product development, testing, approval and promotion, other competitive factors in the pharmaceutical industry include industry consolidation, product quality and price, product technology, reputation, customer service and access to technical information.</w:t>
      </w:r>
    </w:p>
    <w:p>
      <w:pPr>
        <w:spacing w:after="0" w:line="193" w:lineRule="exact"/>
        <w:rPr>
          <w:sz w:val="20"/>
          <w:szCs w:val="20"/>
          <w:color w:val="auto"/>
        </w:rPr>
      </w:pPr>
    </w:p>
    <w:p>
      <w:pPr>
        <w:ind w:right="40" w:firstLine="360"/>
        <w:spacing w:after="0" w:line="278" w:lineRule="auto"/>
        <w:rPr>
          <w:sz w:val="20"/>
          <w:szCs w:val="20"/>
          <w:color w:val="auto"/>
        </w:rPr>
      </w:pPr>
      <w:r>
        <w:rPr>
          <w:rFonts w:ascii="Times New Roman" w:cs="Times New Roman" w:eastAsia="Times New Roman" w:hAnsi="Times New Roman"/>
          <w:sz w:val="20"/>
          <w:szCs w:val="20"/>
          <w:color w:val="auto"/>
        </w:rPr>
        <w:t>We are currently focusing our clinical efforts on developing ABP-450 as a full-label biosimilar to Botox®. We expect to compete directly with other injectable botulinum toxins and other pharmaceuticals that are currently utilized.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Injectable Botulinum Toxins</w:t>
      </w:r>
    </w:p>
    <w:p>
      <w:pPr>
        <w:spacing w:after="0" w:line="239" w:lineRule="exact"/>
        <w:rPr>
          <w:sz w:val="20"/>
          <w:szCs w:val="20"/>
          <w:color w:val="auto"/>
        </w:rPr>
      </w:pPr>
    </w:p>
    <w:p>
      <w:pPr>
        <w:ind w:right="20" w:firstLine="361"/>
        <w:spacing w:after="0" w:line="261" w:lineRule="auto"/>
        <w:rPr>
          <w:sz w:val="20"/>
          <w:szCs w:val="20"/>
          <w:color w:val="auto"/>
        </w:rPr>
      </w:pPr>
      <w:r>
        <w:rPr>
          <w:rFonts w:ascii="Times New Roman" w:cs="Times New Roman" w:eastAsia="Times New Roman" w:hAnsi="Times New Roman"/>
          <w:sz w:val="19"/>
          <w:szCs w:val="19"/>
          <w:color w:val="auto"/>
        </w:rPr>
        <w:t>Our primary competitors for ABP-450 in the injectable botulinum toxin pharmaceutical market for therapeutic use are Botox®, Dysport®, Xeomin®, and Daxxify®. Botox® is currently the only botulinum toxin approved for twelve indications, including chronic migraine, cervical dystonia, blepharospasm, strabismus, overactive bladder, adult and pediatric detrusor overactivity, adult and pediatric upper and lower spasticity and axillary hyperhidrosis. Dysport®, Xeomin® and Daxxify® have limited labels, each of which are only approved by the FDA for treatment of cervical dystonia, with Dysport® and Xeomin® additionally approved for spasticity, and Xeomin® additionally approved for blepharospasm and chronic sialorrhea. We believe the limited labels, and time and cost to achieve label parity, provides us with the competitive advantage over these competitors to address and minimize switching barriers.</w:t>
      </w:r>
    </w:p>
    <w:p>
      <w:pPr>
        <w:spacing w:after="0" w:line="188"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We are aware of competing botulinum toxins currently being developed or commercialized in the United States, the European Union, Asia, South America, and other markets. While some of these products may not meet United States regulatory standards, the companies operating in these markets may be able to produce products at a lower cost than United States and European manufacturers. In addition to the injectable botulinum toxin dose forms, we are aware that other companies are developing topical botulinum toxins for therapeutic indications.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43"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operate in a highly regulated industry that is subject to significant federal, state, local and foreign regulation. Our business has been, and will continue to be, subject to a variety of laws and regulations, including those administered by the U.S. Food and Drug Administration (FDA), governing, among other areas, research and development, testing, manufacturing, quality systems, product approvals, labeling, promotion, pharmacovigilance, import/export, privacy, and healthcare reimbursement.</w:t>
      </w:r>
    </w:p>
    <w:p>
      <w:pPr>
        <w:spacing w:after="0" w:line="193"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Biological products, including products developed under the biosimilar pathway, are subject to regulation under the Federal Food, Drug, and Cosmetic Act and the Public Health Service Act. If approved, our product candidates would be regulated as biological products, and commercial production would need to occur in appropriately registered and/or licensed facilities operating in compliance with cGMP requirements and biologics regulations. Failure to comply with applicable requirements may subject a company to administrative or judicial enforcement actions, such as refusal to approve pending applications, warning letters, import alerts or detentions, product recalls, seizures, total or partial suspension of production or distribution, withdrawal of approval, injunctions, civil penalties and criminal prosecution.</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United States Regulatory Framework for Biosimilars and Interchangeable Biosimilars</w:t>
      </w:r>
    </w:p>
    <w:p>
      <w:pPr>
        <w:spacing w:after="0" w:line="240" w:lineRule="exact"/>
        <w:rPr>
          <w:sz w:val="20"/>
          <w:szCs w:val="20"/>
          <w:color w:val="auto"/>
        </w:rPr>
      </w:pPr>
    </w:p>
    <w:p>
      <w:pPr>
        <w:ind w:right="20" w:firstLine="361"/>
        <w:spacing w:after="0" w:line="263" w:lineRule="auto"/>
        <w:rPr>
          <w:sz w:val="20"/>
          <w:szCs w:val="20"/>
          <w:color w:val="auto"/>
        </w:rPr>
      </w:pPr>
      <w:r>
        <w:rPr>
          <w:rFonts w:ascii="Times New Roman" w:cs="Times New Roman" w:eastAsia="Times New Roman" w:hAnsi="Times New Roman"/>
          <w:sz w:val="19"/>
          <w:szCs w:val="19"/>
          <w:color w:val="auto"/>
        </w:rPr>
        <w:t>The Biologics Price Competition and Innovation Act of 2009 (“BPCIA”), amended the Public Health Service Act and created an abbreviated approval pathway for biological and interchangeable products shown to be highly similar to an FDA-licensed reference biological product. “Biosimilarity” is defined to mean that the proposed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a biosimilar may also be determined to be “interchangeable” with a reference biological product, whereby the biosimilar may be substituted for the</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780"/>
          </w:cols>
          <w:pgMar w:left="540" w:top="1349" w:right="560" w:bottom="0" w:gutter="0" w:footer="0" w:header="0"/>
          <w:type w:val="continuous"/>
        </w:sectPr>
      </w:pPr>
    </w:p>
    <w:bookmarkStart w:id="16" w:name="page17"/>
    <w:bookmarkEnd w:id="16"/>
    <w:p>
      <w:pPr>
        <w:ind w:right="220" w:firstLine="1"/>
        <w:spacing w:after="0" w:line="247" w:lineRule="auto"/>
        <w:rPr>
          <w:sz w:val="20"/>
          <w:szCs w:val="20"/>
          <w:color w:val="auto"/>
        </w:rPr>
      </w:pPr>
      <w:r>
        <w:rPr>
          <w:rFonts w:ascii="Times New Roman" w:cs="Times New Roman" w:eastAsia="Times New Roman" w:hAnsi="Times New Roman"/>
          <w:sz w:val="20"/>
          <w:szCs w:val="20"/>
          <w:color w:val="auto"/>
        </w:rPr>
        <w:t>reference product without the intervention of the health care provider who prescribed the reference product. The higher standard of interchangeability must be demonstrated by information sufficient to show that: the proposed product is biosimilar to the reference product; the proposed product is expected to produce the same clinical result as the reference product in any given patient; and 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200"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20"/>
          <w:szCs w:val="20"/>
          <w:color w:val="auto"/>
        </w:rPr>
        <w:t>The BPCIA attempts to minimize duplicative testing and thereby lower development costs and increase patient access to affordable treatments. In general, the process required by FDA before a biosimilar biological product may be licensed and marketed in the United States typically involves the following, which may overlap and are highly product- and program-specific:</w:t>
      </w:r>
    </w:p>
    <w:p>
      <w:pPr>
        <w:spacing w:after="0" w:line="200" w:lineRule="exact"/>
        <w:rPr>
          <w:sz w:val="20"/>
          <w:szCs w:val="20"/>
          <w:color w:val="auto"/>
        </w:rPr>
      </w:pPr>
    </w:p>
    <w:p>
      <w:pPr>
        <w:ind w:left="720" w:right="40" w:hanging="360"/>
        <w:spacing w:after="0" w:line="251" w:lineRule="auto"/>
        <w:tabs>
          <w:tab w:leader="none" w:pos="72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identification of the U.S.-licensed reference product and development of a comprehensive strategy for obtaining and analyzing suitable lots of the reference product (and, as applicable, any non-U.S.-licensed comparator product) to support the biosimilar comparability exercise;</w:t>
      </w:r>
    </w:p>
    <w:p>
      <w:pPr>
        <w:spacing w:after="0" w:line="87" w:lineRule="exact"/>
        <w:rPr>
          <w:rFonts w:ascii="Symbol" w:cs="Symbol" w:eastAsia="Symbol" w:hAnsi="Symbol"/>
          <w:sz w:val="20"/>
          <w:szCs w:val="20"/>
          <w:color w:val="auto"/>
        </w:rPr>
      </w:pPr>
    </w:p>
    <w:p>
      <w:pPr>
        <w:ind w:left="720" w:right="340" w:hanging="360"/>
        <w:spacing w:after="0" w:line="251" w:lineRule="auto"/>
        <w:tabs>
          <w:tab w:leader="none" w:pos="72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performance of extensive comparative analytical characterization intended to support a demonstration that the proposed product is highly similar to the reference product, including evaluation of physicochemical properties, functional activity, heterogeneity, impurities, and stability attributes using state-of-the-art and orthogonal methods;</w:t>
      </w:r>
    </w:p>
    <w:p>
      <w:pPr>
        <w:spacing w:after="0" w:line="87" w:lineRule="exact"/>
        <w:rPr>
          <w:rFonts w:ascii="Symbol" w:cs="Symbol" w:eastAsia="Symbol" w:hAnsi="Symbol"/>
          <w:sz w:val="20"/>
          <w:szCs w:val="20"/>
          <w:color w:val="auto"/>
        </w:rPr>
      </w:pPr>
    </w:p>
    <w:p>
      <w:pPr>
        <w:ind w:left="720" w:right="560" w:hanging="360"/>
        <w:spacing w:after="0" w:line="262" w:lineRule="auto"/>
        <w:tabs>
          <w:tab w:leader="none" w:pos="72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completion of nonclinical laboratory tests and/or animal studies to the extent necessary to address residual uncertainty, certain of which must be conducted in compliance with applicable good laboratory practice (“GLP”) requirements;</w:t>
      </w:r>
    </w:p>
    <w:p>
      <w:pPr>
        <w:spacing w:after="0" w:line="75" w:lineRule="exact"/>
        <w:rPr>
          <w:rFonts w:ascii="Symbol" w:cs="Symbol" w:eastAsia="Symbol" w:hAnsi="Symbol"/>
          <w:sz w:val="20"/>
          <w:szCs w:val="20"/>
          <w:color w:val="auto"/>
        </w:rPr>
      </w:pPr>
    </w:p>
    <w:p>
      <w:pPr>
        <w:ind w:left="720" w:right="160" w:hanging="360"/>
        <w:spacing w:after="0" w:line="262" w:lineRule="auto"/>
        <w:tabs>
          <w:tab w:leader="none" w:pos="72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submission to FDA of an investigational new drug application (“IND”), which must become effective before certain human clinical investigations may begin;</w:t>
      </w:r>
    </w:p>
    <w:p>
      <w:pPr>
        <w:spacing w:after="0" w:line="75" w:lineRule="exact"/>
        <w:rPr>
          <w:rFonts w:ascii="Symbol" w:cs="Symbol" w:eastAsia="Symbol" w:hAnsi="Symbol"/>
          <w:sz w:val="20"/>
          <w:szCs w:val="20"/>
          <w:color w:val="auto"/>
        </w:rPr>
      </w:pPr>
    </w:p>
    <w:p>
      <w:pPr>
        <w:ind w:left="720" w:right="200" w:hanging="360"/>
        <w:spacing w:after="0" w:line="251" w:lineRule="auto"/>
        <w:tabs>
          <w:tab w:leader="none" w:pos="72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performance of clinical pharmacology studies (typically comparative pharmacokinetics (“PK”) and, where relevant, pharmacodynamics (“PD”)) and clinical immunogenicity assessments, designed to support a demonstration of no clinically meaningful differences and to address residual uncertainty remaining after analytical similarity assessment;</w:t>
      </w:r>
    </w:p>
    <w:p>
      <w:pPr>
        <w:spacing w:after="0" w:line="87" w:lineRule="exact"/>
        <w:rPr>
          <w:rFonts w:ascii="Symbol" w:cs="Symbol" w:eastAsia="Symbol" w:hAnsi="Symbol"/>
          <w:sz w:val="20"/>
          <w:szCs w:val="20"/>
          <w:color w:val="auto"/>
        </w:rPr>
      </w:pPr>
    </w:p>
    <w:p>
      <w:pPr>
        <w:ind w:left="720" w:right="680" w:hanging="360"/>
        <w:spacing w:after="0" w:line="262" w:lineRule="auto"/>
        <w:tabs>
          <w:tab w:leader="none" w:pos="72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performance of one or more comparative clinical studies with efficacy endpoints, if FDA determines such studies are necessary;</w:t>
      </w:r>
    </w:p>
    <w:p>
      <w:pPr>
        <w:spacing w:after="0" w:line="76" w:lineRule="exact"/>
        <w:rPr>
          <w:rFonts w:ascii="Symbol" w:cs="Symbol" w:eastAsia="Symbol" w:hAnsi="Symbol"/>
          <w:sz w:val="20"/>
          <w:szCs w:val="20"/>
          <w:color w:val="auto"/>
        </w:rPr>
      </w:pPr>
    </w:p>
    <w:p>
      <w:pPr>
        <w:ind w:left="720" w:hanging="360"/>
        <w:spacing w:after="0"/>
        <w:tabs>
          <w:tab w:leader="none" w:pos="72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preparation and submission to FDA of a Section 351(k) BLA for marketing authorization;</w:t>
      </w:r>
    </w:p>
    <w:p>
      <w:pPr>
        <w:spacing w:after="0" w:line="118" w:lineRule="exact"/>
        <w:rPr>
          <w:rFonts w:ascii="Symbol" w:cs="Symbol" w:eastAsia="Symbol" w:hAnsi="Symbol"/>
          <w:sz w:val="20"/>
          <w:szCs w:val="20"/>
          <w:color w:val="auto"/>
        </w:rPr>
      </w:pPr>
    </w:p>
    <w:p>
      <w:pPr>
        <w:ind w:left="720" w:right="40" w:hanging="360"/>
        <w:spacing w:after="0" w:line="251" w:lineRule="auto"/>
        <w:tabs>
          <w:tab w:leader="none" w:pos="72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satisfactory completion of FDA pre-licensure inspection(s) of manufacturing facilities and other sites as applicable, and FDA review and action on the application, which may include advisory committee consultation for applications presenting novel scientific or regulatory questions; and</w:t>
      </w:r>
    </w:p>
    <w:p>
      <w:pPr>
        <w:spacing w:after="0" w:line="88" w:lineRule="exact"/>
        <w:rPr>
          <w:rFonts w:ascii="Symbol" w:cs="Symbol" w:eastAsia="Symbol" w:hAnsi="Symbol"/>
          <w:sz w:val="20"/>
          <w:szCs w:val="20"/>
          <w:color w:val="auto"/>
        </w:rPr>
      </w:pPr>
    </w:p>
    <w:p>
      <w:pPr>
        <w:ind w:left="720" w:hanging="360"/>
        <w:spacing w:after="0"/>
        <w:tabs>
          <w:tab w:leader="none" w:pos="72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FDA approval of the Section 351(k) BLA to permit commercial marketing of the product in the United States.</w:t>
      </w:r>
    </w:p>
    <w:p>
      <w:pPr>
        <w:spacing w:after="0" w:line="224" w:lineRule="exact"/>
        <w:rPr>
          <w:sz w:val="20"/>
          <w:szCs w:val="20"/>
          <w:color w:val="auto"/>
        </w:rPr>
      </w:pPr>
    </w:p>
    <w:p>
      <w:pPr>
        <w:ind w:right="20" w:firstLine="361"/>
        <w:spacing w:after="0" w:line="242" w:lineRule="auto"/>
        <w:rPr>
          <w:sz w:val="20"/>
          <w:szCs w:val="20"/>
          <w:color w:val="auto"/>
        </w:rPr>
      </w:pPr>
      <w:r>
        <w:rPr>
          <w:rFonts w:ascii="Times New Roman" w:cs="Times New Roman" w:eastAsia="Times New Roman" w:hAnsi="Times New Roman"/>
          <w:sz w:val="20"/>
          <w:szCs w:val="20"/>
          <w:color w:val="auto"/>
        </w:rPr>
        <w:t>Once a pharmaceutical candidate is identified for development, it enters the preclinical testing stage. Preclinical tests include laboratory evaluations of product chemistry, toxicity and formulation, as well as animal studies, in an effort to support subsequent clinical testing. The conduct of preclinical studies is subject to federal regulations and requirements, including GLP regulations for certain studies. Prior to beginning the first clinical trial with a product candidate in the United States, the trial sponsor must submit an IND to the FDA. An IND is a request for allowance from the FDA to introduce an investigational drug into interstate commerce and administer the product to humans. The IND focuses on the investigational plan and protocol(s) for clinical studies and includes, among other things, the results of animal and in vitro studies assessing the toxicology, pharmacokinetics, pharmacology, and pharmacodynamic characteristics of the product candidate, chemistry, manufacturing, and controls information, and any available human data or literature to support the use of the product candidate. An IND must become effective before human clinical trials may begin. The IND automatically becomes effective 30 days after receipt by the FDA, unless the FDA, within the 30-day time period, places the clinical trial on a full or partial clinical hold. In such a case, the IND sponsor and the FDA must resolve any outstanding concerns before the clinical trial can begin or begin as proposed. Clinical holds also may be imposed by the FDA at any time before or during clinical trials due to safety concerns about ongoing or proposed clinical trials or non-compliance with specific FDA requirements, and trials subject to a clinical hold may not begin or continue as planned until the FDA notifies the sponsor that the hold has been lifted or modified to allow such continuation.</w:t>
      </w:r>
    </w:p>
    <w:p>
      <w:pPr>
        <w:spacing w:after="0" w:line="212"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product to human subjects under the supervision of one or more qualified investigators, generally physicians not employed by or under the trial sponsor’s control, in accordance with GCP regulations, which, among other things, include the requirement that all research subjects provide their informed consent in writing for their</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780"/>
          </w:cols>
          <w:pgMar w:left="540" w:top="1349" w:right="560" w:bottom="0" w:gutter="0" w:footer="0" w:header="0"/>
          <w:type w:val="continuous"/>
        </w:sectPr>
      </w:pPr>
    </w:p>
    <w:bookmarkStart w:id="17" w:name="page18"/>
    <w:bookmarkEnd w:id="17"/>
    <w:p>
      <w:pPr>
        <w:spacing w:after="0" w:line="244" w:lineRule="auto"/>
        <w:rPr>
          <w:sz w:val="20"/>
          <w:szCs w:val="20"/>
          <w:color w:val="auto"/>
        </w:rPr>
      </w:pPr>
      <w:r>
        <w:rPr>
          <w:rFonts w:ascii="Times New Roman" w:cs="Times New Roman" w:eastAsia="Times New Roman" w:hAnsi="Times New Roman"/>
          <w:sz w:val="20"/>
          <w:szCs w:val="20"/>
          <w:color w:val="auto"/>
        </w:rPr>
        <w:t>participation in any clinical trial. Clinical trials must be conducted under protocols detailing, among other things, the objectives of the trial, dosing procedures, subject selection and exclusion criteria and the safety and effectiveness criteria to be evaluated. Each protocol must be submitted to the FDA as part of the IND as well as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206"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20"/>
          <w:szCs w:val="20"/>
          <w:color w:val="auto"/>
        </w:rPr>
        <w:t>Furthermore, an independent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or committee,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FDA Review of Section 351(k) BLAs</w:t>
      </w:r>
    </w:p>
    <w:p>
      <w:pPr>
        <w:spacing w:after="0" w:line="240" w:lineRule="exact"/>
        <w:rPr>
          <w:sz w:val="20"/>
          <w:szCs w:val="20"/>
          <w:color w:val="auto"/>
        </w:rPr>
      </w:pPr>
    </w:p>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FDA approval of a Section 351(k) BLA is required before a biosimilar may be marketed in the United States. The FDA has discretion over the kind and amount of scientific evidence — laboratory, preclinical and/or clinical — required to demonstrate biosimilarity to a licensed biological product. The FDA considers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biological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original BLAs, biosimilar product applications will not be approved unless the product is manufactured in facilities designed to assure and preserve the biological product’s safety, purity and potency.</w:t>
      </w:r>
    </w:p>
    <w:p>
      <w:pPr>
        <w:spacing w:after="0" w:line="202" w:lineRule="exact"/>
        <w:rPr>
          <w:sz w:val="20"/>
          <w:szCs w:val="20"/>
          <w:color w:val="auto"/>
        </w:rPr>
      </w:pPr>
    </w:p>
    <w:p>
      <w:pPr>
        <w:ind w:right="620" w:firstLine="360"/>
        <w:spacing w:after="0" w:line="278" w:lineRule="auto"/>
        <w:rPr>
          <w:sz w:val="20"/>
          <w:szCs w:val="20"/>
          <w:color w:val="auto"/>
        </w:rPr>
      </w:pPr>
      <w:r>
        <w:rPr>
          <w:rFonts w:ascii="Times New Roman" w:cs="Times New Roman" w:eastAsia="Times New Roman" w:hAnsi="Times New Roman"/>
          <w:sz w:val="20"/>
          <w:szCs w:val="20"/>
          <w:color w:val="auto"/>
        </w:rPr>
        <w:t>Generally, an application for licensure of a biosimilar product pursuant to a Section 351(k) BLA must include information demonstrating biosimilarity based upon the following, unless the FDA determines otherwise:</w:t>
      </w:r>
    </w:p>
    <w:p>
      <w:pPr>
        <w:spacing w:after="0" w:line="181" w:lineRule="exact"/>
        <w:rPr>
          <w:sz w:val="20"/>
          <w:szCs w:val="20"/>
          <w:color w:val="auto"/>
        </w:rPr>
      </w:pPr>
    </w:p>
    <w:p>
      <w:pPr>
        <w:ind w:left="720" w:right="1220" w:hanging="361"/>
        <w:spacing w:after="0" w:line="262" w:lineRule="auto"/>
        <w:tabs>
          <w:tab w:leader="none" w:pos="72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color w:val="auto"/>
        </w:rPr>
        <w:t>analytical studies demonstrating that the proposed biosimilar product is highly similar to the approved product notwithstanding minor differences in clinically inactive components;</w:t>
      </w:r>
    </w:p>
    <w:p>
      <w:pPr>
        <w:spacing w:after="0" w:line="76" w:lineRule="exact"/>
        <w:rPr>
          <w:rFonts w:ascii="Symbol" w:cs="Symbol" w:eastAsia="Symbol" w:hAnsi="Symbol"/>
          <w:sz w:val="20"/>
          <w:szCs w:val="20"/>
          <w:color w:val="auto"/>
        </w:rPr>
      </w:pPr>
    </w:p>
    <w:p>
      <w:pPr>
        <w:ind w:left="720" w:hanging="361"/>
        <w:spacing w:after="0"/>
        <w:tabs>
          <w:tab w:leader="none" w:pos="72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color w:val="auto"/>
        </w:rPr>
        <w:t>animal studies (including the assessment of toxicity); and</w:t>
      </w:r>
    </w:p>
    <w:p>
      <w:pPr>
        <w:spacing w:after="0" w:line="118" w:lineRule="exact"/>
        <w:rPr>
          <w:rFonts w:ascii="Symbol" w:cs="Symbol" w:eastAsia="Symbol" w:hAnsi="Symbol"/>
          <w:sz w:val="20"/>
          <w:szCs w:val="20"/>
          <w:color w:val="auto"/>
        </w:rPr>
      </w:pPr>
    </w:p>
    <w:p>
      <w:pPr>
        <w:ind w:left="720" w:right="60" w:hanging="361"/>
        <w:spacing w:after="0" w:line="247" w:lineRule="auto"/>
        <w:tabs>
          <w:tab w:leader="none" w:pos="72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color w:val="auto"/>
        </w:rPr>
        <w:t>two clinical study phases: first, a clinical study or studies that demonstrate PK and PD similarity (e.g., bioequivalence study) of the proposed biosimilar to the originator molecule, and second, a clinical study or studies that demonstrate the safety (including immunogenicity), purity and that potency is statistically not inferior to that of the originator in one or more conditions for which the reference product is licensed and intended to be used.</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addition, an application submitted under the Section 351(k) pathway must include information demonstrating that:</w:t>
      </w:r>
    </w:p>
    <w:p>
      <w:pPr>
        <w:spacing w:after="0" w:line="135" w:lineRule="exact"/>
        <w:rPr>
          <w:sz w:val="20"/>
          <w:szCs w:val="20"/>
          <w:color w:val="auto"/>
        </w:rPr>
      </w:pPr>
    </w:p>
    <w:p>
      <w:pPr>
        <w:ind w:left="720" w:right="40" w:hanging="360"/>
        <w:spacing w:after="0" w:line="250" w:lineRule="auto"/>
        <w:tabs>
          <w:tab w:leader="none" w:pos="72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88" w:lineRule="exact"/>
        <w:rPr>
          <w:rFonts w:ascii="Symbol" w:cs="Symbol" w:eastAsia="Symbol" w:hAnsi="Symbol"/>
          <w:sz w:val="20"/>
          <w:szCs w:val="20"/>
          <w:color w:val="auto"/>
        </w:rPr>
      </w:pPr>
    </w:p>
    <w:p>
      <w:pPr>
        <w:ind w:left="720" w:right="100" w:hanging="360"/>
        <w:spacing w:after="0" w:line="262" w:lineRule="auto"/>
        <w:tabs>
          <w:tab w:leader="none" w:pos="72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condition or conditions of use prescribed, recommended or suggested in the labeling for the proposed biosimilar product have been previously approved for the reference product;</w:t>
      </w:r>
    </w:p>
    <w:p>
      <w:pPr>
        <w:spacing w:after="0" w:line="76" w:lineRule="exact"/>
        <w:rPr>
          <w:rFonts w:ascii="Symbol" w:cs="Symbol" w:eastAsia="Symbol" w:hAnsi="Symbol"/>
          <w:sz w:val="20"/>
          <w:szCs w:val="20"/>
          <w:color w:val="auto"/>
        </w:rPr>
      </w:pPr>
    </w:p>
    <w:p>
      <w:pPr>
        <w:ind w:left="720" w:right="60" w:hanging="360"/>
        <w:spacing w:after="0" w:line="262" w:lineRule="auto"/>
        <w:tabs>
          <w:tab w:leader="none" w:pos="72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the route of administration, the dosage form and the strength of the proposed biosimilar product are the same as those for the reference product; and</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760"/>
          </w:cols>
          <w:pgMar w:left="540" w:top="1349" w:right="580" w:bottom="0" w:gutter="0" w:footer="0" w:header="0"/>
          <w:type w:val="continuous"/>
        </w:sectPr>
      </w:pPr>
    </w:p>
    <w:bookmarkStart w:id="18" w:name="page19"/>
    <w:bookmarkEnd w:id="18"/>
    <w:p>
      <w:pPr>
        <w:ind w:left="720" w:right="340" w:hanging="360"/>
        <w:spacing w:after="0" w:line="262" w:lineRule="auto"/>
        <w:tabs>
          <w:tab w:leader="none" w:pos="720" w:val="left"/>
        </w:tabs>
        <w:numPr>
          <w:ilvl w:val="0"/>
          <w:numId w:val="17"/>
        </w:numPr>
        <w:rPr>
          <w:rFonts w:ascii="Symbol" w:cs="Symbol" w:eastAsia="Symbol" w:hAnsi="Symbol"/>
          <w:sz w:val="20"/>
          <w:szCs w:val="20"/>
          <w:color w:val="auto"/>
        </w:rPr>
      </w:pPr>
      <w:r>
        <w:rPr>
          <w:rFonts w:ascii="Times New Roman" w:cs="Times New Roman" w:eastAsia="Times New Roman" w:hAnsi="Times New Roman"/>
          <w:sz w:val="20"/>
          <w:szCs w:val="20"/>
          <w:color w:val="auto"/>
        </w:rPr>
        <w:t>the facility in which the biological product is manufactured, processed, packed or held meets standards designed to assure that the biological product continues to be safe, pure and potent.</w:t>
      </w:r>
    </w:p>
    <w:p>
      <w:pPr>
        <w:spacing w:after="0" w:line="182" w:lineRule="exact"/>
        <w:rPr>
          <w:sz w:val="20"/>
          <w:szCs w:val="20"/>
          <w:color w:val="auto"/>
        </w:rPr>
      </w:pPr>
    </w:p>
    <w:p>
      <w:pPr>
        <w:ind w:right="20" w:firstLine="361"/>
        <w:spacing w:after="0" w:line="243" w:lineRule="auto"/>
        <w:rPr>
          <w:sz w:val="20"/>
          <w:szCs w:val="20"/>
          <w:color w:val="auto"/>
        </w:rPr>
      </w:pPr>
      <w:r>
        <w:rPr>
          <w:rFonts w:ascii="Times New Roman" w:cs="Times New Roman" w:eastAsia="Times New Roman" w:hAnsi="Times New Roman"/>
          <w:sz w:val="20"/>
          <w:szCs w:val="20"/>
          <w:color w:val="auto"/>
        </w:rPr>
        <w:t>Before approving a Section 351(k) BLA, the FDA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as well as the trial sponsor to assure compliance with GCP requirements. After the FDA evaluates a BLA, it will issue an approval letter or a Complete Response Letter (“CRL”). An approval letter authorizes commercial marketing of the biologic with prescribing information for specific indications. A CRL indicates that the review cycle of the application is complete and the application will not be approved in its present form. A CRL usually describes the specific deficiencies in the BLA identified by the FDA and may require additional clinical data, including additional clinical trials, or other significant and time-consuming requirements related to clinical trials,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w:t>
      </w: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239"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Any products manufactured or distributed pursuant to FDA approvals, including biosimilars, are subject to pervasive and continuing regulation by the FDA, including, among other things, requirements relating to record- 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w:t>
      </w:r>
    </w:p>
    <w:p>
      <w:pPr>
        <w:spacing w:after="0" w:line="198"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application holders and any third- party manufacturers that they may decide to use. Accordingly, manufacturers must continue to expend time, money and effort in the area of production and quality control to maintain compliance with cGMP and other aspects of regulatory compliance.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Other potential consequences include, among other things:</w:t>
      </w:r>
    </w:p>
    <w:p>
      <w:pPr>
        <w:spacing w:after="0" w:line="219" w:lineRule="exact"/>
        <w:rPr>
          <w:sz w:val="20"/>
          <w:szCs w:val="20"/>
          <w:color w:val="auto"/>
        </w:rPr>
      </w:pPr>
    </w:p>
    <w:p>
      <w:pPr>
        <w:ind w:left="720" w:hanging="361"/>
        <w:spacing w:after="0" w:line="262" w:lineRule="auto"/>
        <w:tabs>
          <w:tab w:leader="none" w:pos="7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76" w:lineRule="exact"/>
        <w:rPr>
          <w:rFonts w:ascii="Symbol" w:cs="Symbol" w:eastAsia="Symbol" w:hAnsi="Symbol"/>
          <w:sz w:val="20"/>
          <w:szCs w:val="20"/>
          <w:color w:val="auto"/>
        </w:rPr>
      </w:pPr>
    </w:p>
    <w:p>
      <w:pPr>
        <w:ind w:left="720" w:hanging="361"/>
        <w:spacing w:after="0"/>
        <w:tabs>
          <w:tab w:leader="none" w:pos="7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fines, warning letters, or untitled letters;</w:t>
      </w:r>
    </w:p>
    <w:p>
      <w:pPr>
        <w:spacing w:after="0" w:line="119" w:lineRule="exact"/>
        <w:rPr>
          <w:rFonts w:ascii="Symbol" w:cs="Symbol" w:eastAsia="Symbol" w:hAnsi="Symbol"/>
          <w:sz w:val="20"/>
          <w:szCs w:val="20"/>
          <w:color w:val="auto"/>
        </w:rPr>
      </w:pPr>
    </w:p>
    <w:p>
      <w:pPr>
        <w:ind w:left="720" w:hanging="361"/>
        <w:spacing w:after="0"/>
        <w:tabs>
          <w:tab w:leader="none" w:pos="7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clinical holds on clinical studies;</w:t>
      </w:r>
    </w:p>
    <w:p>
      <w:pPr>
        <w:spacing w:after="0" w:line="118" w:lineRule="exact"/>
        <w:rPr>
          <w:rFonts w:ascii="Symbol" w:cs="Symbol" w:eastAsia="Symbol" w:hAnsi="Symbol"/>
          <w:sz w:val="20"/>
          <w:szCs w:val="20"/>
          <w:color w:val="auto"/>
        </w:rPr>
      </w:pPr>
    </w:p>
    <w:p>
      <w:pPr>
        <w:ind w:left="720" w:right="160" w:hanging="361"/>
        <w:spacing w:after="0" w:line="262" w:lineRule="auto"/>
        <w:tabs>
          <w:tab w:leader="none" w:pos="7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licenses or approvals;</w:t>
      </w:r>
    </w:p>
    <w:p>
      <w:pPr>
        <w:spacing w:after="0" w:line="76" w:lineRule="exact"/>
        <w:rPr>
          <w:rFonts w:ascii="Symbol" w:cs="Symbol" w:eastAsia="Symbol" w:hAnsi="Symbol"/>
          <w:sz w:val="20"/>
          <w:szCs w:val="20"/>
          <w:color w:val="auto"/>
        </w:rPr>
      </w:pPr>
    </w:p>
    <w:p>
      <w:pPr>
        <w:ind w:left="720" w:hanging="361"/>
        <w:spacing w:after="0"/>
        <w:tabs>
          <w:tab w:leader="none" w:pos="7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w:t>
      </w:r>
    </w:p>
    <w:p>
      <w:pPr>
        <w:spacing w:after="0" w:line="118" w:lineRule="exact"/>
        <w:rPr>
          <w:rFonts w:ascii="Symbol" w:cs="Symbol" w:eastAsia="Symbol" w:hAnsi="Symbol"/>
          <w:sz w:val="20"/>
          <w:szCs w:val="20"/>
          <w:color w:val="auto"/>
        </w:rPr>
      </w:pPr>
    </w:p>
    <w:p>
      <w:pPr>
        <w:ind w:left="720" w:hanging="361"/>
        <w:spacing w:after="0"/>
        <w:tabs>
          <w:tab w:leader="none" w:pos="7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healthcare programs;</w:t>
      </w:r>
    </w:p>
    <w:p>
      <w:pPr>
        <w:spacing w:after="0" w:line="119" w:lineRule="exact"/>
        <w:rPr>
          <w:rFonts w:ascii="Symbol" w:cs="Symbol" w:eastAsia="Symbol" w:hAnsi="Symbol"/>
          <w:sz w:val="20"/>
          <w:szCs w:val="20"/>
          <w:color w:val="auto"/>
        </w:rPr>
      </w:pPr>
    </w:p>
    <w:p>
      <w:pPr>
        <w:ind w:left="720" w:hanging="361"/>
        <w:spacing w:after="0"/>
        <w:tabs>
          <w:tab w:leader="none" w:pos="7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mandated modification of promotional materials and labeling and the issuance of corrective information;</w:t>
      </w:r>
    </w:p>
    <w:p>
      <w:pPr>
        <w:spacing w:after="0" w:line="118" w:lineRule="exact"/>
        <w:rPr>
          <w:rFonts w:ascii="Symbol" w:cs="Symbol" w:eastAsia="Symbol" w:hAnsi="Symbol"/>
          <w:sz w:val="20"/>
          <w:szCs w:val="20"/>
          <w:color w:val="auto"/>
        </w:rPr>
      </w:pPr>
    </w:p>
    <w:p>
      <w:pPr>
        <w:ind w:left="720" w:right="160" w:hanging="360"/>
        <w:spacing w:after="0" w:line="262" w:lineRule="auto"/>
        <w:tabs>
          <w:tab w:leader="none" w:pos="7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the issuance of safety alerts, Dear Healthcare Provider letters, press releases and other communications containing warnings or other safety information about the product; or</w:t>
      </w:r>
    </w:p>
    <w:p>
      <w:pPr>
        <w:spacing w:after="0" w:line="76" w:lineRule="exact"/>
        <w:rPr>
          <w:rFonts w:ascii="Symbol" w:cs="Symbol" w:eastAsia="Symbol" w:hAnsi="Symbol"/>
          <w:sz w:val="20"/>
          <w:szCs w:val="20"/>
          <w:color w:val="auto"/>
        </w:rPr>
      </w:pPr>
    </w:p>
    <w:p>
      <w:pPr>
        <w:ind w:left="720" w:hanging="361"/>
        <w:spacing w:after="0"/>
        <w:tabs>
          <w:tab w:leader="none" w:pos="7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44" w:lineRule="exact"/>
        <w:rPr>
          <w:sz w:val="20"/>
          <w:szCs w:val="20"/>
          <w:color w:val="auto"/>
        </w:rPr>
      </w:pPr>
    </w:p>
    <w:p>
      <w:pPr>
        <w:ind w:right="60" w:firstLine="360"/>
        <w:spacing w:after="0" w:line="278" w:lineRule="auto"/>
        <w:rPr>
          <w:sz w:val="20"/>
          <w:szCs w:val="20"/>
          <w:color w:val="auto"/>
        </w:rPr>
      </w:pPr>
      <w:r>
        <w:rPr>
          <w:rFonts w:ascii="Times New Roman" w:cs="Times New Roman" w:eastAsia="Times New Roman" w:hAnsi="Times New Roman"/>
          <w:sz w:val="20"/>
          <w:szCs w:val="20"/>
          <w:color w:val="auto"/>
        </w:rPr>
        <w:t>In addition, the FDA closely regulates the marketing, labeling, advertising and promotion of drug products. A company can make only those claims relating to safety and efficacy, purity and potency that are approved by the FDA and in accordance with the</w:t>
      </w:r>
    </w:p>
    <w:p>
      <w:pPr>
        <w:sectPr>
          <w:pgSz w:w="11880" w:h="15480" w:orient="portrait"/>
          <w:cols w:equalWidth="0" w:num="1">
            <w:col w:w="10800"/>
          </w:cols>
          <w:pgMar w:left="540" w:top="1364" w:right="54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800"/>
          </w:cols>
          <w:pgMar w:left="540" w:top="1364" w:right="540" w:bottom="0" w:gutter="0" w:footer="0" w:header="0"/>
          <w:type w:val="continuous"/>
        </w:sectPr>
      </w:pPr>
    </w:p>
    <w:bookmarkStart w:id="19" w:name="page20"/>
    <w:bookmarkEnd w:id="19"/>
    <w:p>
      <w:pPr>
        <w:ind w:left="1" w:right="60" w:firstLine="1"/>
        <w:spacing w:after="0" w:line="246" w:lineRule="auto"/>
        <w:rPr>
          <w:sz w:val="20"/>
          <w:szCs w:val="20"/>
          <w:color w:val="auto"/>
        </w:rPr>
      </w:pPr>
      <w:r>
        <w:rPr>
          <w:rFonts w:ascii="Times New Roman" w:cs="Times New Roman" w:eastAsia="Times New Roman" w:hAnsi="Times New Roman"/>
          <w:sz w:val="20"/>
          <w:szCs w:val="20"/>
          <w:color w:val="auto"/>
        </w:rPr>
        <w:t>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the manufacturer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01" w:lineRule="exact"/>
        <w:rPr>
          <w:sz w:val="20"/>
          <w:szCs w:val="20"/>
          <w:color w:val="auto"/>
        </w:rPr>
      </w:pPr>
    </w:p>
    <w:p>
      <w:pPr>
        <w:ind w:left="361"/>
        <w:spacing w:after="0"/>
        <w:rPr>
          <w:sz w:val="20"/>
          <w:szCs w:val="20"/>
          <w:color w:val="auto"/>
        </w:rPr>
      </w:pPr>
      <w:r>
        <w:rPr>
          <w:rFonts w:ascii="Times New Roman" w:cs="Times New Roman" w:eastAsia="Times New Roman" w:hAnsi="Times New Roman"/>
          <w:sz w:val="20"/>
          <w:szCs w:val="20"/>
          <w:b w:val="1"/>
          <w:bCs w:val="1"/>
          <w:i w:val="1"/>
          <w:iCs w:val="1"/>
          <w:color w:val="auto"/>
        </w:rPr>
        <w:t>Regulatory Exclusivity Issues for Biologics</w:t>
      </w:r>
    </w:p>
    <w:p>
      <w:pPr>
        <w:spacing w:after="0" w:line="240" w:lineRule="exact"/>
        <w:rPr>
          <w:sz w:val="20"/>
          <w:szCs w:val="20"/>
          <w:color w:val="auto"/>
        </w:rPr>
      </w:pPr>
    </w:p>
    <w:p>
      <w:pPr>
        <w:ind w:left="1" w:right="60" w:firstLine="360"/>
        <w:spacing w:after="0" w:line="244" w:lineRule="auto"/>
        <w:rPr>
          <w:sz w:val="20"/>
          <w:szCs w:val="20"/>
          <w:color w:val="auto"/>
        </w:rPr>
      </w:pPr>
      <w:r>
        <w:rPr>
          <w:rFonts w:ascii="Times New Roman" w:cs="Times New Roman" w:eastAsia="Times New Roman" w:hAnsi="Times New Roman"/>
          <w:sz w:val="20"/>
          <w:szCs w:val="20"/>
          <w:color w:val="auto"/>
        </w:rPr>
        <w:t>The timing of final FDA approval of a biosimilar for commercial distribution depends on a variety of factors, including whether the manufacturer of the reference biological product is entitled to one or more statutory exclusivity periods, during which time the FDA is prohibited from approving any products that are biosimilar to the reference product. The FDA cannot approve a biosimilar application for 12 years from the date of first licensure of the reference product. Additionally, a biosimilar product sponsor may not submit an application under the Section 351(k) pathway for four years from the date of first licensure of the reference product. In certain circumstances, a regulatory exclusivity period can extend beyond the life of a patent and thus block the Section 351(k) BLA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205" w:lineRule="exact"/>
        <w:rPr>
          <w:sz w:val="20"/>
          <w:szCs w:val="20"/>
          <w:color w:val="auto"/>
        </w:rPr>
      </w:pPr>
    </w:p>
    <w:p>
      <w:pPr>
        <w:ind w:left="1" w:right="100" w:firstLine="360"/>
        <w:spacing w:after="0" w:line="247" w:lineRule="auto"/>
        <w:rPr>
          <w:sz w:val="20"/>
          <w:szCs w:val="20"/>
          <w:color w:val="auto"/>
        </w:rPr>
      </w:pPr>
      <w:r>
        <w:rPr>
          <w:rFonts w:ascii="Times New Roman" w:cs="Times New Roman" w:eastAsia="Times New Roman" w:hAnsi="Times New Roman"/>
          <w:sz w:val="20"/>
          <w:szCs w:val="20"/>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(1) one year after the first commercial marketing of the first interchangeable product; (2) 18 months after resolution of a patent infringement suit instituted under 42 U.S.C.</w:t>
      </w:r>
    </w:p>
    <w:p>
      <w:pPr>
        <w:spacing w:after="0" w:line="2" w:lineRule="exact"/>
        <w:rPr>
          <w:sz w:val="20"/>
          <w:szCs w:val="20"/>
          <w:color w:val="auto"/>
        </w:rPr>
      </w:pPr>
    </w:p>
    <w:p>
      <w:pPr>
        <w:ind w:left="1" w:right="80" w:hanging="1"/>
        <w:spacing w:after="0"/>
        <w:tabs>
          <w:tab w:leader="none" w:pos="15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262(l)(6)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instituted under 42 U.S.C. § 262(l)(6) against the applicant that submitted the application for the first interchangeable product is still ongoing; or (4) 18 months after approval of the first interchangeable product if the applicant that submitted the application for the first interchangeable product has not been sued under 42</w:t>
      </w:r>
    </w:p>
    <w:p>
      <w:pPr>
        <w:spacing w:after="0" w:line="1" w:lineRule="exact"/>
        <w:rPr>
          <w:rFonts w:ascii="Times New Roman" w:cs="Times New Roman" w:eastAsia="Times New Roman" w:hAnsi="Times New Roman"/>
          <w:sz w:val="20"/>
          <w:szCs w:val="20"/>
          <w:color w:val="auto"/>
        </w:rPr>
      </w:pPr>
    </w:p>
    <w:p>
      <w:pPr>
        <w:ind w:left="1"/>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U.S.C. § 262(l)(6).</w:t>
      </w:r>
    </w:p>
    <w:p>
      <w:pPr>
        <w:spacing w:after="0" w:line="211" w:lineRule="exact"/>
        <w:rPr>
          <w:sz w:val="20"/>
          <w:szCs w:val="20"/>
          <w:color w:val="auto"/>
        </w:rPr>
      </w:pPr>
    </w:p>
    <w:p>
      <w:pPr>
        <w:ind w:left="361"/>
        <w:spacing w:after="0"/>
        <w:rPr>
          <w:sz w:val="20"/>
          <w:szCs w:val="20"/>
          <w:color w:val="auto"/>
        </w:rPr>
      </w:pPr>
      <w:r>
        <w:rPr>
          <w:rFonts w:ascii="Times New Roman" w:cs="Times New Roman" w:eastAsia="Times New Roman" w:hAnsi="Times New Roman"/>
          <w:sz w:val="20"/>
          <w:szCs w:val="20"/>
          <w:b w:val="1"/>
          <w:bCs w:val="1"/>
          <w:i w:val="1"/>
          <w:iCs w:val="1"/>
          <w:color w:val="auto"/>
        </w:rPr>
        <w:t>United States Healthcare Laws and Compliance Requirements</w:t>
      </w:r>
    </w:p>
    <w:p>
      <w:pPr>
        <w:spacing w:after="0" w:line="240" w:lineRule="exact"/>
        <w:rPr>
          <w:sz w:val="20"/>
          <w:szCs w:val="20"/>
          <w:color w:val="auto"/>
        </w:rPr>
      </w:pPr>
    </w:p>
    <w:p>
      <w:pPr>
        <w:ind w:left="1" w:right="80" w:firstLine="361"/>
        <w:spacing w:after="0" w:line="244" w:lineRule="auto"/>
        <w:rPr>
          <w:sz w:val="20"/>
          <w:szCs w:val="20"/>
          <w:color w:val="auto"/>
        </w:rPr>
      </w:pPr>
      <w:r>
        <w:rPr>
          <w:rFonts w:ascii="Times New Roman" w:cs="Times New Roman" w:eastAsia="Times New Roman" w:hAnsi="Times New Roman"/>
          <w:sz w:val="20"/>
          <w:szCs w:val="20"/>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206" w:lineRule="exact"/>
        <w:rPr>
          <w:sz w:val="20"/>
          <w:szCs w:val="20"/>
          <w:color w:val="auto"/>
        </w:rPr>
      </w:pPr>
    </w:p>
    <w:p>
      <w:pPr>
        <w:ind w:left="361"/>
        <w:spacing w:after="0"/>
        <w:rPr>
          <w:sz w:val="20"/>
          <w:szCs w:val="20"/>
          <w:color w:val="auto"/>
        </w:rPr>
      </w:pPr>
      <w:r>
        <w:rPr>
          <w:rFonts w:ascii="Times New Roman" w:cs="Times New Roman" w:eastAsia="Times New Roman" w:hAnsi="Times New Roman"/>
          <w:sz w:val="20"/>
          <w:szCs w:val="20"/>
          <w:b w:val="1"/>
          <w:bCs w:val="1"/>
          <w:i w:val="1"/>
          <w:iCs w:val="1"/>
          <w:color w:val="auto"/>
        </w:rPr>
        <w:t>Coverage, Pricing and Reimbursement</w:t>
      </w:r>
    </w:p>
    <w:p>
      <w:pPr>
        <w:spacing w:after="0" w:line="239" w:lineRule="exact"/>
        <w:rPr>
          <w:sz w:val="20"/>
          <w:szCs w:val="20"/>
          <w:color w:val="auto"/>
        </w:rPr>
      </w:pPr>
    </w:p>
    <w:p>
      <w:pPr>
        <w:ind w:left="1" w:firstLine="360"/>
        <w:spacing w:after="0" w:line="247" w:lineRule="auto"/>
        <w:rPr>
          <w:sz w:val="20"/>
          <w:szCs w:val="20"/>
          <w:color w:val="auto"/>
        </w:rPr>
      </w:pPr>
      <w:r>
        <w:rPr>
          <w:rFonts w:ascii="Times New Roman" w:cs="Times New Roman" w:eastAsia="Times New Roman" w:hAnsi="Times New Roman"/>
          <w:sz w:val="20"/>
          <w:szCs w:val="20"/>
          <w:color w:val="auto"/>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the 340B Drug Discount program, TRICARE, and the Veterans Administration, as well as managed care organizations and private health insurers. Prices at which we or our customers seek reimbursement for our product candidates can be subject to challenge, reduction or denial by third-party payors. Factors payors consider in determining reimbursement are based on whether the product is:</w:t>
      </w:r>
    </w:p>
    <w:p>
      <w:pPr>
        <w:spacing w:after="0" w:line="213" w:lineRule="exact"/>
        <w:rPr>
          <w:sz w:val="20"/>
          <w:szCs w:val="20"/>
          <w:color w:val="auto"/>
        </w:rPr>
      </w:pPr>
    </w:p>
    <w:p>
      <w:pPr>
        <w:ind w:left="721" w:hanging="360"/>
        <w:spacing w:after="0"/>
        <w:tabs>
          <w:tab w:leader="none" w:pos="721"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a covered benefit under its health plan;</w:t>
      </w:r>
    </w:p>
    <w:p>
      <w:pPr>
        <w:spacing w:after="0" w:line="21" w:lineRule="exact"/>
        <w:rPr>
          <w:rFonts w:ascii="Symbol" w:cs="Symbol" w:eastAsia="Symbol" w:hAnsi="Symbol"/>
          <w:sz w:val="20"/>
          <w:szCs w:val="20"/>
          <w:color w:val="auto"/>
        </w:rPr>
      </w:pPr>
    </w:p>
    <w:p>
      <w:pPr>
        <w:ind w:left="721" w:hanging="360"/>
        <w:spacing w:after="0" w:line="238" w:lineRule="auto"/>
        <w:tabs>
          <w:tab w:leader="none" w:pos="721"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safe, effective and medically necessary;</w:t>
      </w:r>
    </w:p>
    <w:p>
      <w:pPr>
        <w:ind w:left="721" w:hanging="360"/>
        <w:spacing w:after="0"/>
        <w:tabs>
          <w:tab w:leader="none" w:pos="721"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appropriate for the specific patient;</w:t>
      </w:r>
    </w:p>
    <w:p>
      <w:pPr>
        <w:sectPr>
          <w:pgSz w:w="11880" w:h="15480" w:orient="portrait"/>
          <w:cols w:equalWidth="0" w:num="1">
            <w:col w:w="10781"/>
          </w:cols>
          <w:pgMar w:left="539" w:top="1349" w:right="56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781"/>
          </w:cols>
          <w:pgMar w:left="539" w:top="1349" w:right="560" w:bottom="0" w:gutter="0" w:footer="0" w:header="0"/>
          <w:type w:val="continuous"/>
        </w:sectPr>
      </w:pPr>
    </w:p>
    <w:bookmarkStart w:id="20" w:name="page21"/>
    <w:bookmarkEnd w:id="20"/>
    <w:p>
      <w:pPr>
        <w:ind w:left="720" w:hanging="360"/>
        <w:spacing w:after="0"/>
        <w:tabs>
          <w:tab w:leader="none" w:pos="72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cost-effective; and</w:t>
      </w:r>
    </w:p>
    <w:p>
      <w:pPr>
        <w:spacing w:after="0" w:line="21" w:lineRule="exact"/>
        <w:rPr>
          <w:rFonts w:ascii="Symbol" w:cs="Symbol" w:eastAsia="Symbol" w:hAnsi="Symbol"/>
          <w:sz w:val="20"/>
          <w:szCs w:val="20"/>
          <w:color w:val="auto"/>
        </w:rPr>
      </w:pPr>
    </w:p>
    <w:p>
      <w:pPr>
        <w:ind w:left="720" w:hanging="360"/>
        <w:spacing w:after="0"/>
        <w:tabs>
          <w:tab w:leader="none" w:pos="72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neither experimental nor investigational.</w:t>
      </w:r>
    </w:p>
    <w:p>
      <w:pPr>
        <w:spacing w:after="0" w:line="204"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20"/>
          <w:szCs w:val="20"/>
          <w:color w:val="auto"/>
        </w:rPr>
        <w:t>The process for determining whether a third-party payor will provide coverage for a product is typically separate from the process for setting the reimbursement rate that the payor will pay for the product. A third-party payor’s decision to provide coverage for a product does not imply that an adequate reimbursement rate will be available. Additionally, in the United States there is no uniform policy among payors for coverage or reimbursement.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If coverage and adequate reimbursement are not available, or are available only at limited levels, successful commercialization of, and obtaining a satisfactory financial return on, any product we develop may not be possible.</w:t>
      </w:r>
    </w:p>
    <w:p>
      <w:pPr>
        <w:spacing w:after="0" w:line="161" w:lineRule="exact"/>
        <w:rPr>
          <w:sz w:val="20"/>
          <w:szCs w:val="20"/>
          <w:color w:val="auto"/>
        </w:rPr>
      </w:pPr>
    </w:p>
    <w:p>
      <w:pPr>
        <w:ind w:right="160" w:firstLine="360"/>
        <w:spacing w:after="0" w:line="246" w:lineRule="auto"/>
        <w:rPr>
          <w:sz w:val="20"/>
          <w:szCs w:val="20"/>
          <w:color w:val="auto"/>
        </w:rPr>
      </w:pPr>
      <w:r>
        <w:rPr>
          <w:rFonts w:ascii="Times New Roman" w:cs="Times New Roman" w:eastAsia="Times New Roman" w:hAnsi="Times New Roman"/>
          <w:sz w:val="20"/>
          <w:szCs w:val="20"/>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marketing, we may need to conduct expensive studies in order to demonstrate the medical necessity and cost- effectiveness of any products, which would be in addition to the costs expended to obtain regulatory approvals. Third-party payors may not consider our product candidates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w:t>
      </w:r>
    </w:p>
    <w:p>
      <w:pPr>
        <w:spacing w:after="0" w:line="200"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The ACA, enacted in March 2010, has substantially changed healthcare financing and delivery by both governmental and private insurers. Among other things, the ACA included the following provisions:</w:t>
      </w:r>
    </w:p>
    <w:p>
      <w:pPr>
        <w:spacing w:after="0" w:line="214" w:lineRule="exact"/>
        <w:rPr>
          <w:sz w:val="20"/>
          <w:szCs w:val="20"/>
          <w:color w:val="auto"/>
        </w:rPr>
      </w:pPr>
    </w:p>
    <w:p>
      <w:pPr>
        <w:ind w:left="720" w:right="220" w:hanging="361"/>
        <w:spacing w:after="0" w:line="264" w:lineRule="auto"/>
        <w:tabs>
          <w:tab w:leader="none" w:pos="720" w:val="left"/>
        </w:tabs>
        <w:numPr>
          <w:ilvl w:val="0"/>
          <w:numId w:val="22"/>
        </w:numPr>
        <w:rPr>
          <w:rFonts w:ascii="Symbol" w:cs="Symbol" w:eastAsia="Symbol" w:hAnsi="Symbol"/>
          <w:sz w:val="19"/>
          <w:szCs w:val="19"/>
          <w:color w:val="auto"/>
        </w:rPr>
      </w:pPr>
      <w:r>
        <w:rPr>
          <w:rFonts w:ascii="Times New Roman" w:cs="Times New Roman" w:eastAsia="Times New Roman" w:hAnsi="Times New Roman"/>
          <w:sz w:val="19"/>
          <w:szCs w:val="19"/>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ind w:left="720" w:hanging="361"/>
        <w:spacing w:after="0"/>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an increase in the statutory minimum rebates a manufacturer must pay under the Medicaid Drug Rebate Program;</w:t>
      </w:r>
    </w:p>
    <w:p>
      <w:pPr>
        <w:spacing w:after="0" w:line="20" w:lineRule="exact"/>
        <w:rPr>
          <w:rFonts w:ascii="Symbol" w:cs="Symbol" w:eastAsia="Symbol" w:hAnsi="Symbol"/>
          <w:sz w:val="20"/>
          <w:szCs w:val="20"/>
          <w:color w:val="auto"/>
        </w:rPr>
      </w:pPr>
    </w:p>
    <w:p>
      <w:pPr>
        <w:ind w:left="720" w:right="40" w:hanging="361"/>
        <w:spacing w:after="0" w:line="249" w:lineRule="auto"/>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extension of manufacturers’ Medicaid rebate liability to covered drugs dispensed to individuals who are enrolled in Medicaid managed care organizations;</w:t>
      </w:r>
    </w:p>
    <w:p>
      <w:pPr>
        <w:spacing w:after="0" w:line="1" w:lineRule="exact"/>
        <w:rPr>
          <w:rFonts w:ascii="Symbol" w:cs="Symbol" w:eastAsia="Symbol" w:hAnsi="Symbol"/>
          <w:sz w:val="20"/>
          <w:szCs w:val="20"/>
          <w:color w:val="auto"/>
        </w:rPr>
      </w:pPr>
    </w:p>
    <w:p>
      <w:pPr>
        <w:ind w:left="720" w:hanging="361"/>
        <w:spacing w:after="0"/>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expansion of eligibility criteria for Medicaid programs;</w:t>
      </w:r>
    </w:p>
    <w:p>
      <w:pPr>
        <w:spacing w:after="0" w:line="18" w:lineRule="exact"/>
        <w:rPr>
          <w:rFonts w:ascii="Symbol" w:cs="Symbol" w:eastAsia="Symbol" w:hAnsi="Symbol"/>
          <w:sz w:val="20"/>
          <w:szCs w:val="20"/>
          <w:color w:val="auto"/>
        </w:rPr>
      </w:pPr>
    </w:p>
    <w:p>
      <w:pPr>
        <w:ind w:left="720" w:hanging="361"/>
        <w:spacing w:after="0"/>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expansion of the entities eligible for discounts under the 340B Drug Discount Program;</w:t>
      </w:r>
    </w:p>
    <w:p>
      <w:pPr>
        <w:spacing w:after="0" w:line="18" w:lineRule="exact"/>
        <w:rPr>
          <w:rFonts w:ascii="Symbol" w:cs="Symbol" w:eastAsia="Symbol" w:hAnsi="Symbol"/>
          <w:sz w:val="20"/>
          <w:szCs w:val="20"/>
          <w:color w:val="auto"/>
        </w:rPr>
      </w:pPr>
    </w:p>
    <w:p>
      <w:pPr>
        <w:ind w:left="720" w:right="940" w:hanging="361"/>
        <w:spacing w:after="0" w:line="249" w:lineRule="auto"/>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a Patient-Centered Outcomes Research Institute to oversee, identify priorities in, and conduct comparative clinical effectiveness research, along with funding for such research;</w:t>
      </w:r>
    </w:p>
    <w:p>
      <w:pPr>
        <w:spacing w:after="0" w:line="1" w:lineRule="exact"/>
        <w:rPr>
          <w:rFonts w:ascii="Symbol" w:cs="Symbol" w:eastAsia="Symbol" w:hAnsi="Symbol"/>
          <w:sz w:val="20"/>
          <w:szCs w:val="20"/>
          <w:color w:val="auto"/>
        </w:rPr>
      </w:pPr>
    </w:p>
    <w:p>
      <w:pPr>
        <w:ind w:left="720" w:right="220" w:hanging="361"/>
        <w:spacing w:after="0" w:line="249" w:lineRule="auto"/>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a methodology by which rebates owed by manufacturers under the Medicaid Drug Rebate Program are calculated for drugs that are inhaled, infused, instilled, implanted, or injected; and</w:t>
      </w:r>
    </w:p>
    <w:p>
      <w:pPr>
        <w:spacing w:after="0" w:line="1" w:lineRule="exact"/>
        <w:rPr>
          <w:rFonts w:ascii="Symbol" w:cs="Symbol" w:eastAsia="Symbol" w:hAnsi="Symbol"/>
          <w:sz w:val="20"/>
          <w:szCs w:val="20"/>
          <w:color w:val="auto"/>
        </w:rPr>
      </w:pPr>
    </w:p>
    <w:p>
      <w:pPr>
        <w:ind w:left="720" w:hanging="361"/>
        <w:spacing w:after="0"/>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a licensure framework for follow-on biological products.</w:t>
      </w:r>
    </w:p>
    <w:p>
      <w:pPr>
        <w:spacing w:after="0" w:line="223" w:lineRule="exact"/>
        <w:rPr>
          <w:sz w:val="20"/>
          <w:szCs w:val="20"/>
          <w:color w:val="auto"/>
        </w:rPr>
      </w:pPr>
    </w:p>
    <w:p>
      <w:pPr>
        <w:ind w:right="140" w:firstLine="360"/>
        <w:spacing w:after="0" w:line="252" w:lineRule="auto"/>
        <w:rPr>
          <w:sz w:val="20"/>
          <w:szCs w:val="20"/>
          <w:color w:val="auto"/>
        </w:rPr>
      </w:pPr>
      <w:r>
        <w:rPr>
          <w:rFonts w:ascii="Times New Roman" w:cs="Times New Roman" w:eastAsia="Times New Roman" w:hAnsi="Times New Roman"/>
          <w:sz w:val="20"/>
          <w:szCs w:val="20"/>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Thus, in the absence of legislation, the ACA will remain in effect in its current form.</w:t>
      </w:r>
    </w:p>
    <w:p>
      <w:pPr>
        <w:spacing w:after="0" w:line="193" w:lineRule="exact"/>
        <w:rPr>
          <w:sz w:val="20"/>
          <w:szCs w:val="20"/>
          <w:color w:val="auto"/>
        </w:rPr>
      </w:pPr>
    </w:p>
    <w:p>
      <w:pPr>
        <w:ind w:right="40" w:firstLine="360"/>
        <w:spacing w:after="0" w:line="263" w:lineRule="auto"/>
        <w:rPr>
          <w:sz w:val="20"/>
          <w:szCs w:val="20"/>
          <w:color w:val="auto"/>
        </w:rPr>
      </w:pPr>
      <w:r>
        <w:rPr>
          <w:rFonts w:ascii="Times New Roman" w:cs="Times New Roman" w:eastAsia="Times New Roman" w:hAnsi="Times New Roman"/>
          <w:sz w:val="19"/>
          <w:szCs w:val="19"/>
          <w:color w:val="auto"/>
        </w:rPr>
        <w:t>In addition, other legislative changes have been proposed and adopted since the Affordable Care Act was enacted. On August 2, 2011, the Budget Control Act of 2011 was signed into law, which, among other things, included aggregate reductions to Medicare payments to providers, which went into effect on April 1, 2013 and, due to subsequent legislative amendments to the statute will remain in effect through the first 6 months of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w:t>
      </w:r>
    </w:p>
    <w:p>
      <w:pPr>
        <w:sectPr>
          <w:pgSz w:w="11880" w:h="15480" w:orient="portrait"/>
          <w:cols w:equalWidth="0" w:num="1">
            <w:col w:w="10800"/>
          </w:cols>
          <w:pgMar w:left="540" w:top="13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800"/>
          </w:cols>
          <w:pgMar w:left="540" w:top="1364" w:right="540" w:bottom="0" w:gutter="0" w:footer="0" w:header="0"/>
          <w:type w:val="continuous"/>
        </w:sectPr>
      </w:pPr>
    </w:p>
    <w:bookmarkStart w:id="21" w:name="page22"/>
    <w:bookmarkEnd w:id="21"/>
    <w:p>
      <w:pPr>
        <w:jc w:val="both"/>
        <w:ind w:right="100"/>
        <w:spacing w:after="0" w:line="259" w:lineRule="auto"/>
        <w:rPr>
          <w:sz w:val="20"/>
          <w:szCs w:val="20"/>
          <w:color w:val="auto"/>
        </w:rPr>
      </w:pPr>
      <w:r>
        <w:rPr>
          <w:rFonts w:ascii="Times New Roman" w:cs="Times New Roman" w:eastAsia="Times New Roman" w:hAnsi="Times New Roman"/>
          <w:sz w:val="20"/>
          <w:szCs w:val="20"/>
          <w:color w:val="auto"/>
        </w:rPr>
        <w:t>to five years. On March 11, 2021, the American Rescue Plan Act of 2021 was signed into law, which eliminated the statutory cap on drug manufacturers’ Medicaid drug rebate liability beginning January 1, 2024. The rebate was previously capped at 100% of a drug’s average manufacturer price.</w:t>
      </w:r>
    </w:p>
    <w:p>
      <w:pPr>
        <w:spacing w:after="0" w:line="186" w:lineRule="exact"/>
        <w:rPr>
          <w:sz w:val="20"/>
          <w:szCs w:val="20"/>
          <w:color w:val="auto"/>
        </w:rPr>
      </w:pPr>
    </w:p>
    <w:p>
      <w:pPr>
        <w:ind w:right="60" w:firstLine="360"/>
        <w:spacing w:after="0" w:line="243" w:lineRule="auto"/>
        <w:rPr>
          <w:sz w:val="20"/>
          <w:szCs w:val="20"/>
          <w:color w:val="auto"/>
        </w:rPr>
      </w:pPr>
      <w:r>
        <w:rPr>
          <w:rFonts w:ascii="Times New Roman" w:cs="Times New Roman" w:eastAsia="Times New Roman" w:hAnsi="Times New Roman"/>
          <w:sz w:val="20"/>
          <w:szCs w:val="20"/>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Notably, on August 16, 2022, the Inflation Reduction Act of 2022 (IRA) was signed into law. Prescription drug price reform is a focal point of this landmark legislation that incorporates many proposals advanced over the last decade to overhaul drug costs under the Medicare program. Key provisions of the law permit CMS to negotiate Part D drug prices for an increasing number of drugs over a five-year period, replace the Medicare Coverage Gap Discount Program with a new Manufacturer Refund Program for drugs not subject to negotiation, and redesign the Part D benefit to eliminate the coverage gap and realign the cost responsibility in the initial and catastrophic phases of coverage (capping out-of-pocket costs at US$2,000 which began in 2025). In addition, the law penalizes drug manufacturers for price increases that outpace the rate of inflation (for products under Medicare Parts D/B).</w:t>
      </w:r>
    </w:p>
    <w:p>
      <w:pPr>
        <w:spacing w:after="0" w:line="204" w:lineRule="exact"/>
        <w:rPr>
          <w:sz w:val="20"/>
          <w:szCs w:val="20"/>
          <w:color w:val="auto"/>
        </w:rPr>
      </w:pPr>
    </w:p>
    <w:p>
      <w:pPr>
        <w:ind w:right="20" w:firstLine="361"/>
        <w:spacing w:after="0" w:line="242" w:lineRule="auto"/>
        <w:rPr>
          <w:sz w:val="20"/>
          <w:szCs w:val="20"/>
          <w:color w:val="auto"/>
        </w:rPr>
      </w:pPr>
      <w:r>
        <w:rPr>
          <w:rFonts w:ascii="Times New Roman" w:cs="Times New Roman" w:eastAsia="Times New Roman" w:hAnsi="Times New Roman"/>
          <w:sz w:val="20"/>
          <w:szCs w:val="20"/>
          <w:color w:val="auto"/>
        </w:rPr>
        <w:t>Under the Medicare Drug Price Negotiation Program established under the IRA, CMS published the negotiated prices for the initial ten drugs covered under Part D, which went into effect in January 2026, and for the subsequent 15 drugs, which will first be effective in 2027. In addition, CMS has commenced the third cycle of the Medicare Drug Price Negotiation Program, which is associated with the Initial Price Applicability Year 2028 (“IPAY 2028”) and, for the first time, may include drugs payable under Medicare Part B in addition to drugs covered under Medicare Part D. On January 27, 2026, CMS published the list of 15 selected drugs for IPAY 2028, which includes Botox®. CMS has stated that negotiations with participating manufacturers for this third cycle will occur during 2026 and that any negotiated “maximum fair prices” (“MFPs”) will be effective beginning January 1, 2028, and CMS has issued program guidance describing the timing and milestones for the negotiation process, including the exchange of manufacturer-specific data, CMS offers and counteroffers, and publication of negotiated prices. Selection of Botox® for IPAY 2028 and any resulting MFP may affect reimbursement, utilization, contracting, pricing and access dynamics for botulinum toxin therapies, including therapies administered in physician offices and reimbursed under Medicare Part B, and could impact the size, attractiveness, and economics of the therapeutic Botox® market and related competitive markets. CMS’ Negotiation Program guidance indicates that, if CMS later determines that the statutory criteria for bona fide generic or biosimilar competition are met for a selected drug, the drug may be removed from the selected drug list and the MFP may cease to apply in subsequent years, subject to timing mechanics in CMS guidance.</w:t>
      </w:r>
    </w:p>
    <w:p>
      <w:pPr>
        <w:spacing w:after="0" w:line="211" w:lineRule="exact"/>
        <w:rPr>
          <w:sz w:val="20"/>
          <w:szCs w:val="20"/>
          <w:color w:val="auto"/>
        </w:rPr>
      </w:pPr>
    </w:p>
    <w:p>
      <w:pPr>
        <w:jc w:val="both"/>
        <w:ind w:right="240" w:firstLine="360"/>
        <w:spacing w:after="0" w:line="259" w:lineRule="auto"/>
        <w:rPr>
          <w:sz w:val="20"/>
          <w:szCs w:val="20"/>
          <w:color w:val="auto"/>
        </w:rPr>
      </w:pPr>
      <w:r>
        <w:rPr>
          <w:rFonts w:ascii="Times New Roman" w:cs="Times New Roman" w:eastAsia="Times New Roman" w:hAnsi="Times New Roman"/>
          <w:sz w:val="20"/>
          <w:szCs w:val="20"/>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186" w:lineRule="exact"/>
        <w:rPr>
          <w:sz w:val="20"/>
          <w:szCs w:val="20"/>
          <w:color w:val="auto"/>
        </w:rPr>
      </w:pPr>
    </w:p>
    <w:p>
      <w:pPr>
        <w:ind w:firstLine="361"/>
        <w:spacing w:after="0" w:line="242" w:lineRule="auto"/>
        <w:rPr>
          <w:sz w:val="20"/>
          <w:szCs w:val="20"/>
          <w:color w:val="auto"/>
        </w:rPr>
      </w:pPr>
      <w:r>
        <w:rPr>
          <w:rFonts w:ascii="Times New Roman" w:cs="Times New Roman" w:eastAsia="Times New Roman" w:hAnsi="Times New Roman"/>
          <w:sz w:val="20"/>
          <w:szCs w:val="20"/>
          <w:color w:val="auto"/>
        </w:rPr>
        <w:t>In 2026, the U.S. government also launched TrumpRx, a federal initiative to enable patients to gain access to certain prescription drugs at reduced costs based on pricing available in other countries (i.e., most-favored-nation pricing). In addition, the Trump administration is pursuing a two-fold strategy to reduce drug costs in the United States. While it is unclear whether and how the Trump proposals will be implemented, the Trump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United States to the lowest price in a group of other countries. In response, multiple manufacturers have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spacing w:after="0" w:line="213" w:lineRule="exact"/>
        <w:rPr>
          <w:sz w:val="20"/>
          <w:szCs w:val="20"/>
          <w:color w:val="auto"/>
        </w:rPr>
      </w:pPr>
    </w:p>
    <w:p>
      <w:pPr>
        <w:ind w:right="40" w:firstLine="360"/>
        <w:spacing w:after="0" w:line="304" w:lineRule="auto"/>
        <w:rPr>
          <w:sz w:val="20"/>
          <w:szCs w:val="20"/>
          <w:color w:val="auto"/>
        </w:rPr>
      </w:pPr>
      <w:r>
        <w:rPr>
          <w:rFonts w:ascii="Times New Roman" w:cs="Times New Roman" w:eastAsia="Times New Roman" w:hAnsi="Times New Roman"/>
          <w:sz w:val="19"/>
          <w:szCs w:val="19"/>
          <w:color w:val="auto"/>
        </w:rPr>
        <w:t>At the state level, legislatures have increasingly passed legislation and implemented regulations designed to control pharmaceutical product pricing, including price or patient reimbursement constraints, discounts, restrictions on certain product access,</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780"/>
          </w:cols>
          <w:pgMar w:left="540" w:top="1349" w:right="560" w:bottom="0" w:gutter="0" w:footer="0" w:header="0"/>
          <w:type w:val="continuous"/>
        </w:sectPr>
      </w:pPr>
    </w:p>
    <w:bookmarkStart w:id="22" w:name="page23"/>
    <w:bookmarkEnd w:id="22"/>
    <w:p>
      <w:pPr>
        <w:ind w:firstLine="1"/>
        <w:spacing w:after="0" w:line="243" w:lineRule="auto"/>
        <w:rPr>
          <w:sz w:val="20"/>
          <w:szCs w:val="20"/>
          <w:color w:val="auto"/>
        </w:rPr>
      </w:pPr>
      <w:r>
        <w:rPr>
          <w:rFonts w:ascii="Times New Roman" w:cs="Times New Roman" w:eastAsia="Times New Roman" w:hAnsi="Times New Roman"/>
          <w:sz w:val="20"/>
          <w:szCs w:val="20"/>
          <w:color w:val="auto"/>
        </w:rPr>
        <w:t>marketing cost disclosure, drug price reporting and other transparency measures.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Some measures are designed to encourage importation from other countries and bulk purchasing. These types of initiatives may result in additional reductions in Medicare, Medicaid, and other healthcare funding, and may otherwise affect the prices we may obtain for our product candidates, if approved.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if approved, or put pressure on our product pricing, which could negatively affect our business, results of operations, financial condition, and prospects.</w:t>
      </w:r>
    </w:p>
    <w:p>
      <w:pPr>
        <w:spacing w:after="0" w:line="20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Additionally, on May 30, 2018, the Right to Try Act was signed into law. The law, among other things, provides a federal</w:t>
      </w:r>
    </w:p>
    <w:p>
      <w:pPr>
        <w:spacing w:after="0" w:line="28"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20"/>
          <w:szCs w:val="20"/>
          <w:color w:val="auto"/>
        </w:rPr>
        <w:t>framework for certain patients to access certain investigational new drug products that have completed a Phase 1 clinical study and that are undergoing investigation for FDA approval. Under certain circumstances, eligible patients can seek treatment without enrolling in clinical studies and without obtaining FDA permission under the FDA expanded access program. There is no obligation for a drug manufacturer to make its drug products available to eligible patients as a result of the Right to Try Act.</w:t>
      </w:r>
    </w:p>
    <w:p>
      <w:pPr>
        <w:spacing w:after="0" w:line="201" w:lineRule="exact"/>
        <w:rPr>
          <w:sz w:val="20"/>
          <w:szCs w:val="20"/>
          <w:color w:val="auto"/>
        </w:rPr>
      </w:pPr>
    </w:p>
    <w:p>
      <w:pPr>
        <w:ind w:firstLine="361"/>
        <w:spacing w:after="0" w:line="247" w:lineRule="auto"/>
        <w:rPr>
          <w:sz w:val="20"/>
          <w:szCs w:val="20"/>
          <w:color w:val="auto"/>
        </w:rPr>
      </w:pPr>
      <w:r>
        <w:rPr>
          <w:rFonts w:ascii="Times New Roman" w:cs="Times New Roman" w:eastAsia="Times New Roman" w:hAnsi="Times New Roman"/>
          <w:sz w:val="20"/>
          <w:szCs w:val="20"/>
          <w:color w:val="auto"/>
        </w:rPr>
        <w:t>Another potential area of further healthcare reform is the 340B Drug Pricing Program, which was created by Congress in 1992 to “stretch scarce Federal resources as far as possible, reaching more eligible patients and providing more comprehensive services.” Drug manufacturers are incentivized to participate in this program as any manufacturer who wants their medication covered by Medicaid must also provide a discount to 340B covered entities, which includes a variety of healthcare entities that must abide by certain eligibility criteria in order to participate. This program requires drug manufacturers to provide outpatient drugs to eligible entities at a significantly discounted price which can result in savings between 20-50% or more.</w:t>
      </w:r>
    </w:p>
    <w:p>
      <w:pPr>
        <w:spacing w:after="0" w:line="200" w:lineRule="exact"/>
        <w:rPr>
          <w:sz w:val="20"/>
          <w:szCs w:val="20"/>
          <w:color w:val="auto"/>
        </w:rPr>
      </w:pPr>
    </w:p>
    <w:p>
      <w:pPr>
        <w:ind w:right="40" w:firstLine="361"/>
        <w:spacing w:after="0" w:line="244" w:lineRule="auto"/>
        <w:rPr>
          <w:sz w:val="20"/>
          <w:szCs w:val="20"/>
          <w:color w:val="auto"/>
        </w:rPr>
      </w:pPr>
      <w:r>
        <w:rPr>
          <w:rFonts w:ascii="Times New Roman" w:cs="Times New Roman" w:eastAsia="Times New Roman" w:hAnsi="Times New Roman"/>
          <w:sz w:val="20"/>
          <w:szCs w:val="20"/>
          <w:color w:val="auto"/>
        </w:rPr>
        <w:t>Growth of the 340B program has continued to accelerate as more entities participate in the program and, thus, more patients qualify for 340B drugs. The value of the drug purchases by covered entities through the 340B program has grown exponentially year-over-year, with 2022 data indicating that discounted drugs purchased through the 340B program reached approximately $53.7 billion annually. In the last decade drug manufacturers have opposed the 340B program publicly, as the program has experienced significant growth which corresponds to greater lost revenue potential for the manufacturers. There is a high degree of legal, legislative and public scrutiny as manufacturers have challenged some aggressive covered entity practices in litigation (with mixed success) and legislative reform proposals seek great transparency and accountability by the participating entities. Nonetheless, there is general industry consensus that the program will remain available in the long-term and there is a reasonable expectation that it will continue to have a material impact on the financial performance of manufacturers as program growth further erodes manufacturer revenue.</w:t>
      </w:r>
    </w:p>
    <w:p>
      <w:pPr>
        <w:spacing w:after="0" w:line="205" w:lineRule="exact"/>
        <w:rPr>
          <w:sz w:val="20"/>
          <w:szCs w:val="20"/>
          <w:color w:val="auto"/>
        </w:rPr>
      </w:pPr>
    </w:p>
    <w:p>
      <w:pPr>
        <w:ind w:right="280" w:firstLine="361"/>
        <w:spacing w:after="0" w:line="247" w:lineRule="auto"/>
        <w:rPr>
          <w:sz w:val="20"/>
          <w:szCs w:val="20"/>
          <w:color w:val="auto"/>
        </w:rPr>
      </w:pPr>
      <w:r>
        <w:rPr>
          <w:rFonts w:ascii="Times New Roman" w:cs="Times New Roman" w:eastAsia="Times New Roman" w:hAnsi="Times New Roman"/>
          <w:sz w:val="20"/>
          <w:szCs w:val="20"/>
          <w:color w:val="auto"/>
        </w:rPr>
        <w:t>We expect that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and initiatives may prevent us from being able to generate revenue, attain profitability, or commercialize our products, if approved.</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Data Privacy and Security Laws and Regulations</w:t>
      </w:r>
    </w:p>
    <w:p>
      <w:pPr>
        <w:spacing w:after="0" w:line="239"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We are also subject to data privacy and security regulation by the federal government, states and non - United States jurisdictions in which we conduct our business. For example, HIPAA, as amended by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 those independent contractors or agents of covered entities that create, receive, maintain, transmit,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and non-United States laws govern the privacy and security of health and other personal information in certain circumstances, many of which differ from each other in significant ways and may not have the same effect, thus complicating compliance efforts.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800"/>
          </w:cols>
          <w:pgMar w:left="540" w:top="1349" w:right="540" w:bottom="0" w:gutter="0" w:footer="0" w:header="0"/>
          <w:type w:val="continuous"/>
        </w:sectPr>
      </w:pPr>
    </w:p>
    <w:bookmarkStart w:id="23" w:name="page24"/>
    <w:bookmarkEnd w:id="23"/>
    <w:p>
      <w:pPr>
        <w:ind w:firstLine="360"/>
        <w:spacing w:after="0" w:line="244" w:lineRule="auto"/>
        <w:rPr>
          <w:sz w:val="20"/>
          <w:szCs w:val="20"/>
          <w:color w:val="auto"/>
        </w:rPr>
      </w:pPr>
      <w:r>
        <w:rPr>
          <w:rFonts w:ascii="Times New Roman" w:cs="Times New Roman" w:eastAsia="Times New Roman" w:hAnsi="Times New Roman"/>
          <w:sz w:val="20"/>
          <w:szCs w:val="20"/>
          <w:color w:val="auto"/>
        </w:rPr>
        <w:t>Because of the breadth of these laws and the narrowness of available statutory and regulatory exemptions, it is possible that some of our business activities now and in the future could be subject to challenge under one or more of such laws. If our operations are found to be in violation of any of the federal and state laws described above or any other governmental regulations that apply to us, we may be subject to penalties, including criminal and significant civil monetary penalties, damages, fines, imprisonment, exclusion of products from reimbursement under government programs, and the curtailment or restructuring of our operations, any of which could adversely affect our ability to operate our business and our results of operations. 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06" w:lineRule="exact"/>
        <w:rPr>
          <w:sz w:val="20"/>
          <w:szCs w:val="20"/>
          <w:color w:val="auto"/>
        </w:rPr>
      </w:pPr>
    </w:p>
    <w:p>
      <w:pPr>
        <w:ind w:right="620" w:firstLine="360"/>
        <w:spacing w:after="0" w:line="252" w:lineRule="auto"/>
        <w:rPr>
          <w:sz w:val="20"/>
          <w:szCs w:val="20"/>
          <w:color w:val="auto"/>
        </w:rPr>
      </w:pPr>
      <w:r>
        <w:rPr>
          <w:rFonts w:ascii="Times New Roman" w:cs="Times New Roman" w:eastAsia="Times New Roman" w:hAnsi="Times New Roman"/>
          <w:sz w:val="20"/>
          <w:szCs w:val="20"/>
          <w:color w:val="auto"/>
        </w:rPr>
        <w:t>For more on the risks associated with data privacy and security, please see “</w:t>
      </w:r>
      <w:r>
        <w:rPr>
          <w:rFonts w:ascii="Times New Roman" w:cs="Times New Roman" w:eastAsia="Times New Roman" w:hAnsi="Times New Roman"/>
          <w:sz w:val="20"/>
          <w:szCs w:val="20"/>
          <w:i w:val="1"/>
          <w:iCs w:val="1"/>
          <w:color w:val="auto"/>
        </w:rPr>
        <w:t>Risk Factors — Risks Related to Government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Regulation — We are subject to stringent and often unsettled privacy laws, information security laws, regulations, policies and contractual obligations related to data privacy and security and changes in such laws, regulations, policies and contractual obligations could adversely affect our business</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43" w:lineRule="exact"/>
        <w:rPr>
          <w:sz w:val="20"/>
          <w:szCs w:val="20"/>
          <w:color w:val="auto"/>
        </w:rPr>
      </w:pPr>
    </w:p>
    <w:p>
      <w:pPr>
        <w:ind w:right="80" w:firstLine="360"/>
        <w:spacing w:after="0" w:line="259" w:lineRule="auto"/>
        <w:rPr>
          <w:sz w:val="20"/>
          <w:szCs w:val="20"/>
          <w:color w:val="auto"/>
        </w:rPr>
      </w:pPr>
      <w:r>
        <w:rPr>
          <w:rFonts w:ascii="Times New Roman" w:cs="Times New Roman" w:eastAsia="Times New Roman" w:hAnsi="Times New Roman"/>
          <w:sz w:val="20"/>
          <w:szCs w:val="20"/>
          <w:color w:val="auto"/>
        </w:rPr>
        <w:t>As of December 31, 2025, we had eight employees. Our employees are all on a full-time basis in the United States. None of our employees are represented by a labor union or covered under a collective bargaining agreement, and we believe our relations with our employees are good.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243"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Our principal executive office is located at 5 Park Plaza, Suite 1750, Irvine, California 92614. In September 2021, we entered into a lease agreement for 8,000 square feet of office space located at this facility, with a lease term of 36 months beginning in December 2021 and ending in December 2024. In March 2024, we entered into an amendment to extend the lease to an additional five years. We may look for alternate space for our operations, and we believe that suitable alternative space will be available in the future on commercially reasonable terms.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242" w:lineRule="exact"/>
        <w:rPr>
          <w:sz w:val="20"/>
          <w:szCs w:val="20"/>
          <w:color w:val="auto"/>
        </w:rPr>
      </w:pPr>
    </w:p>
    <w:p>
      <w:pPr>
        <w:ind w:right="100" w:firstLine="361"/>
        <w:spacing w:after="0" w:line="245" w:lineRule="auto"/>
        <w:rPr>
          <w:sz w:val="20"/>
          <w:szCs w:val="20"/>
          <w:color w:val="auto"/>
        </w:rPr>
      </w:pPr>
      <w:r>
        <w:rPr>
          <w:rFonts w:ascii="Times New Roman" w:cs="Times New Roman" w:eastAsia="Times New Roman" w:hAnsi="Times New Roman"/>
          <w:sz w:val="20"/>
          <w:szCs w:val="20"/>
          <w:color w:val="auto"/>
        </w:rPr>
        <w:t>On September 18, 2023, Odeon Capital Group LLC (“Odeon”) filed a lawsuit against us in the Supreme Court of the State of New York, alleging that we failed to pay Odeon’s deferred underwriting fee of $1.25 million, and seeking monetary damages for the full amount of its claimed underwriter fee, punitive damages, attorneys’ fees and other amounts, totaling approximately $1.7 million, which was recorded in other accrued expenses on the consolidated balance sheets as of December 31, 2024. On October 31, 2025, we entered into a settlement agreement with Odeon to settle the lawsuit in exchange for $1.0 million in cash, 267,455 shares of common stock and 125,000 warrants with exercise price of $2.00 and a three-year term. The Company recorded a gain on settlement of $0.4 million to selling, general and administrative expenses on the consolidated statement of operations and comprehensive (loss) income for the year ended December 31, 2025.</w:t>
      </w:r>
    </w:p>
    <w:p>
      <w:pPr>
        <w:spacing w:after="0" w:line="203"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19"/>
          <w:szCs w:val="19"/>
          <w:color w:val="auto"/>
        </w:rPr>
        <w:t>On November 20, 2025, Aegis Capital Corp. (“Aegis”) filed a lawsuit against the Company in the Supreme Court of the State of New York, alleging that the Company failed to honor a right of first refusal (the “ROFR”) in Aegis’s favor when AEON raised capital through a self -directed private placement in public equity (“PIPE”). In the complaint, Aegis claimed that AEON misappropriated $1.59 million by not engaging Aegis as its underwriter or bookrunner in the PIPE and seeks punitive damages and attorneys'</w:t>
      </w:r>
    </w:p>
    <w:p>
      <w:pPr>
        <w:spacing w:after="0" w:line="3"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0"/>
          <w:szCs w:val="20"/>
          <w:color w:val="auto"/>
        </w:rPr>
        <w:t>fees. Aegis was unsuccessful in its attempts to obtain both a temporary restraining order and permanent injunction. AEON filed a motion to dismiss in January 2026, relying upon New York precedent that indicates ROFRs are not operative when a company does not engage any banking partner. Oral argument with respect to the motion to dismiss is scheduled for April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We are subject to various risks and uncertainties in the course of our business. You should carefully consider the risks and uncertainties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described below and the other information in this report before making an investment in our Class A common stock, par value</w:t>
      </w:r>
    </w:p>
    <w:p>
      <w:pPr>
        <w:spacing w:after="0"/>
        <w:rPr>
          <w:sz w:val="20"/>
          <w:szCs w:val="20"/>
          <w:color w:val="auto"/>
        </w:rPr>
      </w:pPr>
      <w:r>
        <w:rPr>
          <w:rFonts w:ascii="Times New Roman" w:cs="Times New Roman" w:eastAsia="Times New Roman" w:hAnsi="Times New Roman"/>
          <w:sz w:val="20"/>
          <w:szCs w:val="20"/>
          <w:i w:val="1"/>
          <w:iCs w:val="1"/>
          <w:color w:val="auto"/>
        </w:rPr>
        <w:t>$0.0001 per share (“common stock”). Our business, financial condition, results of operations, or prospects could be materially and</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800"/>
          </w:cols>
          <w:pgMar w:left="540" w:top="1349" w:right="540" w:bottom="0" w:gutter="0" w:footer="0" w:header="0"/>
          <w:type w:val="continuous"/>
        </w:sectPr>
      </w:pPr>
    </w:p>
    <w:bookmarkStart w:id="24" w:name="page25"/>
    <w:bookmarkEnd w:id="24"/>
    <w:p>
      <w:pPr>
        <w:ind w:right="100"/>
        <w:spacing w:after="0" w:line="252" w:lineRule="auto"/>
        <w:rPr>
          <w:sz w:val="20"/>
          <w:szCs w:val="20"/>
          <w:color w:val="auto"/>
        </w:rPr>
      </w:pPr>
      <w:r>
        <w:rPr>
          <w:rFonts w:ascii="Times New Roman" w:cs="Times New Roman" w:eastAsia="Times New Roman" w:hAnsi="Times New Roman"/>
          <w:sz w:val="20"/>
          <w:szCs w:val="20"/>
          <w:i w:val="1"/>
          <w:iCs w:val="1"/>
          <w:color w:val="auto"/>
        </w:rPr>
        <w:t>adversely affected if any of these risks occurs, and as a result, the market price of our common stock could decline and you could lose all or part of your investment. This report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Operations and Financial Position</w:t>
      </w:r>
    </w:p>
    <w:p>
      <w:pPr>
        <w:spacing w:after="0" w:line="23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and have incurred significant losses since our inception and anticipate that we will continue to incur losses for the foreseeable future. If we ever achieve profitability, we may not be able to sustain it.</w:t>
      </w:r>
    </w:p>
    <w:p>
      <w:pPr>
        <w:spacing w:after="0" w:line="157" w:lineRule="exact"/>
        <w:rPr>
          <w:sz w:val="20"/>
          <w:szCs w:val="20"/>
          <w:color w:val="auto"/>
        </w:rPr>
      </w:pPr>
    </w:p>
    <w:p>
      <w:pPr>
        <w:ind w:right="20" w:firstLine="360"/>
        <w:spacing w:after="0" w:line="242" w:lineRule="auto"/>
        <w:rPr>
          <w:sz w:val="20"/>
          <w:szCs w:val="20"/>
          <w:color w:val="auto"/>
        </w:rPr>
      </w:pPr>
      <w:r>
        <w:rPr>
          <w:rFonts w:ascii="Times New Roman" w:cs="Times New Roman" w:eastAsia="Times New Roman" w:hAnsi="Times New Roman"/>
          <w:sz w:val="20"/>
          <w:szCs w:val="20"/>
          <w:color w:val="auto"/>
        </w:rPr>
        <w:t>We are a clinical stage biopharmaceutical company with a limited operating history. Pharmaceutical product development is a highly speculative undertaking and involves a substantial degree of risk. Old AEON was originally incorporated in 2012 but did not begin focusing its efforts and financial resources on the clinical development and regulatory approval of ABP-450 for therapeutic indications until 2019. The operating history upon which investors must evaluate our business and prospects is limited. Consequently, any predictions about our future success, performance or viability may not be as accurate as they could be if we had a longer operating history or a history of commercial operations. In addition, as an organization, we have limited experience and have not yet demonstrated an ability to successfully overcome many of the risks and uncertainties frequently encountered by companies in the biopharmaceutical market. To date, we have not obtained any regulatory approvals for ABP-450 or generated any revenue from product sales relating to ABP-450. On May 16, 2024, we announced the discontinuation of our Phase 2 double blind study of ABP-450 in the treatment of episodic migraine and chronic migraine, which had previously completed enrollment and dosing of patients, and ceased enrollment and dosing of patients in our open label extension study related to such study, in order to implement certain cash preservation measures while the Company continues to evaluate its strategic options. On July 9, 2024, we announced a strategic reprioritization to seek regulatory approval of ABP-450 as a biosimilar product in the United States through submission of a BLA under Section 351(k) of the Public Health Service Act, or a Section 351(k) BLA, using AbbVie Inc.’s product Botox® as the reference product, for all of the indications for which Botox® is approved, other than the cosmetic uses for which we do not hold development or commercialization rights. We held an initial meeting with the FDA in the third quarter of 2024 during which we obtained feedback from the FDA on the next steps to develop a Botox® biosimilar. We commenced analytical studies in the fourth quarter of 2024 to prepare for a BPD Type 2a meeting with the FDA that was held on January 21, 2026, to review the results from the studies.</w:t>
      </w:r>
    </w:p>
    <w:p>
      <w:pPr>
        <w:spacing w:after="0" w:line="165" w:lineRule="exact"/>
        <w:rPr>
          <w:sz w:val="20"/>
          <w:szCs w:val="20"/>
          <w:color w:val="auto"/>
        </w:rPr>
      </w:pPr>
    </w:p>
    <w:p>
      <w:pPr>
        <w:ind w:firstLine="361"/>
        <w:spacing w:after="0" w:line="242" w:lineRule="auto"/>
        <w:rPr>
          <w:sz w:val="20"/>
          <w:szCs w:val="20"/>
          <w:color w:val="auto"/>
        </w:rPr>
      </w:pPr>
      <w:r>
        <w:rPr>
          <w:rFonts w:ascii="Times New Roman" w:cs="Times New Roman" w:eastAsia="Times New Roman" w:hAnsi="Times New Roman"/>
          <w:sz w:val="20"/>
          <w:szCs w:val="20"/>
          <w:color w:val="auto"/>
        </w:rPr>
        <w:t>Because we have not yet received regulatory approvals, we are not permitted to market ABP-450 for any use in the United States or in any other territory, and as such, we have not generated any revenue from sales of ABP-450 to date. We have recorded a loss from operations of $12.8 million for the year ended December 31, 2025, mainly due to loss from operations of $16.3 million and gain on fair value of contingent consideration of $3.5 million. We have recorded operating income of $73.0 million for the year ended December 31, 2024, mainly due to gain on fair value of contingent consideration of $100.8 million and operating expenses of $27.8 million. As of December 31, 2025, we had $ 3.0 million in cash and cash equivalents. As a result of our ongoing losses, as of December 31, 2025, we had an accumulated deficit of $470.8 million. We expect to continue to incur losses for the foreseeable future, and we anticipate these losses will increase as we continue to seek regulatory approval for, and begin to commercialize, ABP- 450,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(deficit) and working capital. Because of the numerous risks and uncertainties associated with drug development, we are unable to accurately predict the timing or amount of increased expenses, or when, if at all, we will be able to achieve profitability. Even if we achieve profitability in the future, we may not be able to sustain profitability in subsequent periods. Our prior losses, combined with expected future losses, may adversely affect the market price of common stock and our ability to raise capital and continue operations.</w:t>
      </w:r>
    </w:p>
    <w:p>
      <w:pPr>
        <w:spacing w:after="0" w:line="16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management has concluded that uncertainties around our ability to raise additional capital raise substantial doubt about our ability to continue as a going concern. We will require additional financing to fund our future operations. Any failure to obtain additional capital when needed on acceptable terms, or at all, could force us to delay, limit, reduce or terminate our operations.</w:t>
      </w:r>
    </w:p>
    <w:p>
      <w:pPr>
        <w:spacing w:after="0" w:line="176" w:lineRule="exact"/>
        <w:rPr>
          <w:sz w:val="20"/>
          <w:szCs w:val="20"/>
          <w:color w:val="auto"/>
        </w:rPr>
      </w:pPr>
    </w:p>
    <w:p>
      <w:pPr>
        <w:ind w:right="140" w:firstLine="360"/>
        <w:spacing w:after="0" w:line="265" w:lineRule="auto"/>
        <w:rPr>
          <w:sz w:val="20"/>
          <w:szCs w:val="20"/>
          <w:color w:val="auto"/>
        </w:rPr>
      </w:pPr>
      <w:r>
        <w:rPr>
          <w:rFonts w:ascii="Times New Roman" w:cs="Times New Roman" w:eastAsia="Times New Roman" w:hAnsi="Times New Roman"/>
          <w:sz w:val="19"/>
          <w:szCs w:val="19"/>
          <w:color w:val="auto"/>
        </w:rPr>
        <w:t>We have concluded that we do not have sufficient cash to fund our operations and to meet our obligations as they become due within one year from the date that our consolidated financial statements are issued and as a result, there is substantial doubt about our ability to continue as a going concern. Our ability to continue as a going concern is an issue raised as a result of ongoing operating losses and a lack of financing commitments to meet cash requirements, and is subject to our ability to generate a profit or obtain appropriate financing from outside sources, including obtaining additional funding from the sale of our securities or obtaining loans</w:t>
      </w:r>
    </w:p>
    <w:p>
      <w:pPr>
        <w:sectPr>
          <w:pgSz w:w="11880" w:h="15480" w:orient="portrait"/>
          <w:cols w:equalWidth="0" w:num="1">
            <w:col w:w="10800"/>
          </w:cols>
          <w:pgMar w:left="540" w:top="1351" w:right="54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800"/>
          </w:cols>
          <w:pgMar w:left="540" w:top="1351" w:right="540" w:bottom="0" w:gutter="0" w:footer="0" w:header="0"/>
          <w:type w:val="continuous"/>
        </w:sectPr>
      </w:pPr>
    </w:p>
    <w:bookmarkStart w:id="25" w:name="page26"/>
    <w:bookmarkEnd w:id="25"/>
    <w:p>
      <w:pPr>
        <w:ind w:firstLine="1"/>
        <w:spacing w:after="0" w:line="245" w:lineRule="auto"/>
        <w:rPr>
          <w:sz w:val="20"/>
          <w:szCs w:val="20"/>
          <w:color w:val="auto"/>
        </w:rPr>
      </w:pPr>
      <w:r>
        <w:rPr>
          <w:rFonts w:ascii="Times New Roman" w:cs="Times New Roman" w:eastAsia="Times New Roman" w:hAnsi="Times New Roman"/>
          <w:sz w:val="20"/>
          <w:szCs w:val="20"/>
          <w:color w:val="auto"/>
        </w:rPr>
        <w:t>from third parties where possible. We will need to raise additional capital to fund our operations. We cannot assure you that we will be able to raise additional capital on commercially reasonable terms or at all. The perception that we may not be able to continue as a going concern may materially limit our ability to raise additional funds through the issuance of new debt or equity securities or otherwise and no assurance can be given that sufficient funding will be available when needed to allow us to continue as a going concern. This perception may also make it more difficult to operate our business due to concerns about our ability to meet our contractual obligations. If we cannot continue as a going concern, we may have to liquidate our assets and may receive less than the value at which those assets are carried on our financial statements, and it is likely that our stockholders may lose some or all of their investment in us.</w:t>
      </w:r>
    </w:p>
    <w:p>
      <w:pPr>
        <w:spacing w:after="0" w:line="203" w:lineRule="exact"/>
        <w:rPr>
          <w:sz w:val="20"/>
          <w:szCs w:val="20"/>
          <w:color w:val="auto"/>
        </w:rPr>
      </w:pPr>
    </w:p>
    <w:p>
      <w:pPr>
        <w:jc w:val="both"/>
        <w:ind w:right="240" w:firstLine="360"/>
        <w:spacing w:after="0" w:line="258" w:lineRule="auto"/>
        <w:rPr>
          <w:sz w:val="20"/>
          <w:szCs w:val="20"/>
          <w:color w:val="auto"/>
        </w:rPr>
      </w:pPr>
      <w:r>
        <w:rPr>
          <w:rFonts w:ascii="Times New Roman" w:cs="Times New Roman" w:eastAsia="Times New Roman" w:hAnsi="Times New Roman"/>
          <w:sz w:val="20"/>
          <w:szCs w:val="20"/>
          <w:color w:val="auto"/>
        </w:rPr>
        <w:t>We expect that we will continue to expend substantial resources for the foreseeable future in order to complete development of and seek regulatory approval for ABP-450 as a biosimilar to Botox®, identify future potential therapeutic applications for ABP-450 and establish sales and marketing capabilities to commercialize ABP-450 across any approved indications.</w:t>
      </w:r>
    </w:p>
    <w:p>
      <w:pPr>
        <w:spacing w:after="0" w:line="187" w:lineRule="exact"/>
        <w:rPr>
          <w:sz w:val="20"/>
          <w:szCs w:val="20"/>
          <w:color w:val="auto"/>
        </w:rPr>
      </w:pPr>
    </w:p>
    <w:p>
      <w:pPr>
        <w:ind w:right="60" w:firstLine="361"/>
        <w:spacing w:after="0" w:line="253" w:lineRule="auto"/>
        <w:rPr>
          <w:sz w:val="20"/>
          <w:szCs w:val="20"/>
          <w:color w:val="auto"/>
        </w:rPr>
      </w:pPr>
      <w:r>
        <w:rPr>
          <w:rFonts w:ascii="Times New Roman" w:cs="Times New Roman" w:eastAsia="Times New Roman" w:hAnsi="Times New Roman"/>
          <w:sz w:val="20"/>
          <w:szCs w:val="20"/>
          <w:color w:val="auto"/>
        </w:rPr>
        <w:t>As of the date of this Report, we expect to have sufficient cash to fund our operating plan into the third quarter of 2026. We have based these estimates, however, on assumptions that may prove to be wrong, and we could spend our available capital resources much faster than we currently expect or require more capital to fund our operations than we currently expect. Our future capital requirements depend on many factors, including:</w:t>
      </w:r>
    </w:p>
    <w:p>
      <w:pPr>
        <w:spacing w:after="0" w:line="205" w:lineRule="exact"/>
        <w:rPr>
          <w:sz w:val="20"/>
          <w:szCs w:val="20"/>
          <w:color w:val="auto"/>
        </w:rPr>
      </w:pPr>
    </w:p>
    <w:p>
      <w:pPr>
        <w:ind w:left="720" w:hanging="361"/>
        <w:spacing w:after="0"/>
        <w:tabs>
          <w:tab w:leader="none" w:pos="72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timing of, and the costs involved in, obtaining regulatory approvals for ABP-450;</w:t>
      </w:r>
    </w:p>
    <w:p>
      <w:pPr>
        <w:spacing w:after="0" w:line="119" w:lineRule="exact"/>
        <w:rPr>
          <w:rFonts w:ascii="Symbol" w:cs="Symbol" w:eastAsia="Symbol" w:hAnsi="Symbol"/>
          <w:sz w:val="20"/>
          <w:szCs w:val="20"/>
          <w:color w:val="auto"/>
        </w:rPr>
      </w:pPr>
    </w:p>
    <w:p>
      <w:pPr>
        <w:ind w:left="720" w:right="20" w:hanging="361"/>
        <w:spacing w:after="0" w:line="262" w:lineRule="auto"/>
        <w:tabs>
          <w:tab w:leader="none" w:pos="72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progress, results and costs of researching and developing ABP-450, and conducting preclinical and clinical studies, including any studies required by the FDA to support submission of a Section 351(k) BLA;</w:t>
      </w:r>
    </w:p>
    <w:p>
      <w:pPr>
        <w:spacing w:after="0" w:line="75" w:lineRule="exact"/>
        <w:rPr>
          <w:rFonts w:ascii="Symbol" w:cs="Symbol" w:eastAsia="Symbol" w:hAnsi="Symbol"/>
          <w:sz w:val="20"/>
          <w:szCs w:val="20"/>
          <w:color w:val="auto"/>
        </w:rPr>
      </w:pPr>
    </w:p>
    <w:p>
      <w:pPr>
        <w:ind w:left="720" w:hanging="361"/>
        <w:spacing w:after="0"/>
        <w:tabs>
          <w:tab w:leader="none" w:pos="72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 of commercialization activities if ABP-450 is approved for sale, including marketing, sales and distribution costs;</w:t>
      </w:r>
    </w:p>
    <w:p>
      <w:pPr>
        <w:spacing w:after="0" w:line="119" w:lineRule="exact"/>
        <w:rPr>
          <w:rFonts w:ascii="Symbol" w:cs="Symbol" w:eastAsia="Symbol" w:hAnsi="Symbol"/>
          <w:sz w:val="20"/>
          <w:szCs w:val="20"/>
          <w:color w:val="auto"/>
        </w:rPr>
      </w:pPr>
    </w:p>
    <w:p>
      <w:pPr>
        <w:ind w:left="720" w:hanging="361"/>
        <w:spacing w:after="0"/>
        <w:tabs>
          <w:tab w:leader="none" w:pos="72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costs under our third-party manufacturing and supply arrangements for ABP-450 and any products we commercialize;</w:t>
      </w:r>
    </w:p>
    <w:p>
      <w:pPr>
        <w:spacing w:after="0" w:line="119" w:lineRule="exact"/>
        <w:rPr>
          <w:rFonts w:ascii="Symbol" w:cs="Symbol" w:eastAsia="Symbol" w:hAnsi="Symbol"/>
          <w:sz w:val="20"/>
          <w:szCs w:val="20"/>
          <w:color w:val="auto"/>
        </w:rPr>
      </w:pPr>
    </w:p>
    <w:p>
      <w:pPr>
        <w:ind w:left="720" w:hanging="361"/>
        <w:spacing w:after="0"/>
        <w:tabs>
          <w:tab w:leader="none" w:pos="72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degree and rate of market acceptance of ABP-450, if approved, or any future approved products;</w:t>
      </w:r>
    </w:p>
    <w:p>
      <w:pPr>
        <w:spacing w:after="0" w:line="118" w:lineRule="exact"/>
        <w:rPr>
          <w:rFonts w:ascii="Symbol" w:cs="Symbol" w:eastAsia="Symbol" w:hAnsi="Symbol"/>
          <w:sz w:val="20"/>
          <w:szCs w:val="20"/>
          <w:color w:val="auto"/>
        </w:rPr>
      </w:pPr>
    </w:p>
    <w:p>
      <w:pPr>
        <w:ind w:left="720" w:right="220" w:hanging="361"/>
        <w:spacing w:after="0" w:line="262" w:lineRule="auto"/>
        <w:tabs>
          <w:tab w:leader="none" w:pos="72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emergence, approval, availability, perceived advantages, relative cost, relative safety and relative efficacy of alternative and competing products;</w:t>
      </w:r>
    </w:p>
    <w:p>
      <w:pPr>
        <w:spacing w:after="0" w:line="75" w:lineRule="exact"/>
        <w:rPr>
          <w:rFonts w:ascii="Symbol" w:cs="Symbol" w:eastAsia="Symbol" w:hAnsi="Symbol"/>
          <w:sz w:val="20"/>
          <w:szCs w:val="20"/>
          <w:color w:val="auto"/>
        </w:rPr>
      </w:pPr>
    </w:p>
    <w:p>
      <w:pPr>
        <w:ind w:left="720" w:right="340" w:hanging="361"/>
        <w:spacing w:after="0" w:line="262" w:lineRule="auto"/>
        <w:tabs>
          <w:tab w:leader="none" w:pos="72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costs associated with any acquisition or in-license of products and product candidates, technologies or businesses, and the terms and timing of any strategic collaboration or other arrangement;</w:t>
      </w:r>
    </w:p>
    <w:p>
      <w:pPr>
        <w:spacing w:after="0" w:line="75" w:lineRule="exact"/>
        <w:rPr>
          <w:rFonts w:ascii="Symbol" w:cs="Symbol" w:eastAsia="Symbol" w:hAnsi="Symbol"/>
          <w:sz w:val="20"/>
          <w:szCs w:val="20"/>
          <w:color w:val="auto"/>
        </w:rPr>
      </w:pPr>
    </w:p>
    <w:p>
      <w:pPr>
        <w:ind w:left="720" w:right="40" w:hanging="361"/>
        <w:spacing w:after="0" w:line="251" w:lineRule="auto"/>
        <w:tabs>
          <w:tab w:leader="none" w:pos="72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terms of any conversion of the senior secured convertible note in the principal amount of $1.5 million, pursuant to an exchange agreement, dated as of January 21, 2026 with Daewoong into shares of common stock, subject to certain conditions and limitations set forth in the convertible note;</w:t>
      </w:r>
    </w:p>
    <w:p>
      <w:pPr>
        <w:spacing w:after="0" w:line="88" w:lineRule="exact"/>
        <w:rPr>
          <w:rFonts w:ascii="Symbol" w:cs="Symbol" w:eastAsia="Symbol" w:hAnsi="Symbol"/>
          <w:sz w:val="20"/>
          <w:szCs w:val="20"/>
          <w:color w:val="auto"/>
        </w:rPr>
      </w:pPr>
    </w:p>
    <w:p>
      <w:pPr>
        <w:ind w:left="720" w:hanging="361"/>
        <w:spacing w:after="0"/>
        <w:tabs>
          <w:tab w:leader="none" w:pos="72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costs of operating as a public company.</w:t>
      </w:r>
    </w:p>
    <w:p>
      <w:pPr>
        <w:spacing w:after="0" w:line="224" w:lineRule="exact"/>
        <w:rPr>
          <w:sz w:val="20"/>
          <w:szCs w:val="20"/>
          <w:color w:val="auto"/>
        </w:rPr>
      </w:pPr>
    </w:p>
    <w:p>
      <w:pPr>
        <w:ind w:right="120" w:firstLine="360"/>
        <w:spacing w:after="0" w:line="246" w:lineRule="auto"/>
        <w:rPr>
          <w:sz w:val="20"/>
          <w:szCs w:val="20"/>
          <w:color w:val="auto"/>
        </w:rPr>
      </w:pPr>
      <w:r>
        <w:rPr>
          <w:rFonts w:ascii="Times New Roman" w:cs="Times New Roman" w:eastAsia="Times New Roman" w:hAnsi="Times New Roman"/>
          <w:sz w:val="20"/>
          <w:szCs w:val="20"/>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may have to grant licenses on terms that may not be favorable to us. If we raise additional capital through public or private equity offerings or offerings of securities convertible into our equity, the ownership interest of stockholders will be diluted and the terms of any such securities may have a preference over our common stock. Debt financing, receivables financing and royalty financing may also be coupled with an equity component, such as warrants to purchase our capital stock, which could also result in dilution of our existing stockholders’ ownership, and such dilution may be material.</w:t>
      </w:r>
    </w:p>
    <w:p>
      <w:pPr>
        <w:spacing w:after="0" w:line="199" w:lineRule="exact"/>
        <w:rPr>
          <w:sz w:val="20"/>
          <w:szCs w:val="20"/>
          <w:color w:val="auto"/>
        </w:rPr>
      </w:pPr>
    </w:p>
    <w:p>
      <w:pPr>
        <w:ind w:right="100" w:firstLine="359"/>
        <w:spacing w:after="0" w:line="261" w:lineRule="auto"/>
        <w:rPr>
          <w:sz w:val="20"/>
          <w:szCs w:val="20"/>
          <w:color w:val="auto"/>
        </w:rPr>
      </w:pPr>
      <w:r>
        <w:rPr>
          <w:rFonts w:ascii="Times New Roman" w:cs="Times New Roman" w:eastAsia="Times New Roman" w:hAnsi="Times New Roman"/>
          <w:sz w:val="19"/>
          <w:szCs w:val="19"/>
          <w:color w:val="auto"/>
        </w:rPr>
        <w:t>Furthermore, if we raise additional capital through debt financing, we will have increased fixed payment obligations and may be subject to covenants limiting or restricting our ability to take specific actions, such as incurring additional debt or making capital expenditures to meet specified financial ratios, and other operational restrictions, any of which could restrict our ability to commercialize ABP-450 or to operate as a business and may result in liens being placed on our assets. If we were to default on any of our indebtedness, we could lose such assets. Additional funding may not be available on acceptable terms, or at all. The global credit and financial markets have experienced volatility and disruptions recently, including diminished liquidity and credit availability, declines in consumer confidence, declines in economic growth, increases in unemployment rates, and uncertainty about economic</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800"/>
          </w:cols>
          <w:pgMar w:left="540" w:top="1349" w:right="540" w:bottom="0" w:gutter="0" w:footer="0" w:header="0"/>
          <w:type w:val="continuous"/>
        </w:sectPr>
      </w:pPr>
    </w:p>
    <w:bookmarkStart w:id="26" w:name="page27"/>
    <w:bookmarkEnd w:id="26"/>
    <w:p>
      <w:pPr>
        <w:spacing w:after="0" w:line="278" w:lineRule="auto"/>
        <w:rPr>
          <w:sz w:val="20"/>
          <w:szCs w:val="20"/>
          <w:color w:val="auto"/>
        </w:rPr>
      </w:pPr>
      <w:r>
        <w:rPr>
          <w:rFonts w:ascii="Times New Roman" w:cs="Times New Roman" w:eastAsia="Times New Roman" w:hAnsi="Times New Roman"/>
          <w:sz w:val="20"/>
          <w:szCs w:val="20"/>
          <w:color w:val="auto"/>
        </w:rPr>
        <w:t>stability. If the equity and credit markets deteriorate, it may make any necessary debt or equity financing more difficult, more costly or more dilutive.</w:t>
      </w:r>
    </w:p>
    <w:p>
      <w:pPr>
        <w:spacing w:after="0" w:line="157"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entirely on obtaining U.S. regulatory approval and successfully commercializing ABP-450 as a proposed biosimilar to Botox®, and the biosimilar licensure pathway for a botulinum toxin product is uncertain.</w:t>
      </w:r>
    </w:p>
    <w:p>
      <w:pPr>
        <w:spacing w:after="0" w:line="157"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Our future success currently depends entirely on the successful and timely development, licensure and commercialization of ABP-450, our only product candidate. We do not have any products approved for sale and we may never be able to develop and commercialize a marketable product. If we are unable to obtain regulatory approval for ABP-450, or if we experience material delays in doing so, our business, financial condition and results of operations would be materially and adversely affected.</w:t>
      </w:r>
    </w:p>
    <w:p>
      <w:pPr>
        <w:spacing w:after="0" w:line="191" w:lineRule="exact"/>
        <w:rPr>
          <w:sz w:val="20"/>
          <w:szCs w:val="20"/>
          <w:color w:val="auto"/>
        </w:rPr>
      </w:pPr>
    </w:p>
    <w:p>
      <w:pPr>
        <w:ind w:right="40" w:firstLine="361"/>
        <w:spacing w:after="0" w:line="245" w:lineRule="auto"/>
        <w:rPr>
          <w:sz w:val="20"/>
          <w:szCs w:val="20"/>
          <w:color w:val="auto"/>
        </w:rPr>
      </w:pPr>
      <w:r>
        <w:rPr>
          <w:rFonts w:ascii="Times New Roman" w:cs="Times New Roman" w:eastAsia="Times New Roman" w:hAnsi="Times New Roman"/>
          <w:sz w:val="20"/>
          <w:szCs w:val="20"/>
          <w:color w:val="auto"/>
        </w:rPr>
        <w:t>The clinical development, manufacturing, labeling, storage, record-keeping, advertising, promotion, import, export, marketing and distribution of biological products are subject to extensive regulation by the U.S. Food and Drug Administration (FDA) in the United States. We currently plan to pursue licensure for ABP-450 in the United States under the abbreviated pathway for biosimilar biological products under section 351(k) of the Public Health Service Act. Under this pathway, we must demonstrate that ABP-450 is biosimilar to a single FDA-licensed reference product under a stepwise approach, which typically relies on extensive comparative analytical and functional characterization, together with nonclinical testing and clinical investigations, to the extent warranted. The FDA has substantial discretion to determine the nature and extent of data required to support a section 351(k) BLA, including whether and to what extent additional clinical studies are necessary.</w:t>
      </w:r>
    </w:p>
    <w:p>
      <w:pPr>
        <w:spacing w:after="0" w:line="202" w:lineRule="exact"/>
        <w:rPr>
          <w:sz w:val="20"/>
          <w:szCs w:val="20"/>
          <w:color w:val="auto"/>
        </w:rPr>
      </w:pPr>
    </w:p>
    <w:p>
      <w:pPr>
        <w:ind w:right="300" w:firstLine="360"/>
        <w:spacing w:after="0" w:line="252" w:lineRule="auto"/>
        <w:rPr>
          <w:sz w:val="20"/>
          <w:szCs w:val="20"/>
          <w:color w:val="auto"/>
        </w:rPr>
      </w:pPr>
      <w:r>
        <w:rPr>
          <w:rFonts w:ascii="Times New Roman" w:cs="Times New Roman" w:eastAsia="Times New Roman" w:hAnsi="Times New Roman"/>
          <w:sz w:val="20"/>
          <w:szCs w:val="20"/>
          <w:color w:val="auto"/>
        </w:rPr>
        <w:t>The FDA has not licensed a biosimilar or interchangeable biological product referencing Botox® to date. As a result, FDA’s expectations for demonstrating biosimilarity for a botulinum toxin product may be uncertain and may evolve during the course of development and review. The process of preparing, submitting and obtaining approval of a section 351(k) BLA is expensive, time-consuming and inherently uncertain, and can be delayed, limited, or denied for many reasons, including the following:</w:t>
      </w:r>
    </w:p>
    <w:p>
      <w:pPr>
        <w:spacing w:after="0" w:line="209" w:lineRule="exact"/>
        <w:rPr>
          <w:sz w:val="20"/>
          <w:szCs w:val="20"/>
          <w:color w:val="auto"/>
        </w:rPr>
      </w:pPr>
    </w:p>
    <w:p>
      <w:pPr>
        <w:ind w:left="720" w:right="320" w:hanging="361"/>
        <w:spacing w:after="0" w:line="262" w:lineRule="auto"/>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may disagree with the design, endpoints, statistical analysis plan or conduct of our clinical investigations or may identify issues during inspection of clinical sites;</w:t>
      </w:r>
    </w:p>
    <w:p>
      <w:pPr>
        <w:spacing w:after="0" w:line="95" w:lineRule="exact"/>
        <w:rPr>
          <w:rFonts w:ascii="Symbol" w:cs="Symbol" w:eastAsia="Symbol" w:hAnsi="Symbol"/>
          <w:sz w:val="20"/>
          <w:szCs w:val="20"/>
          <w:color w:val="auto"/>
        </w:rPr>
      </w:pPr>
    </w:p>
    <w:p>
      <w:pPr>
        <w:ind w:left="720" w:right="520" w:hanging="361"/>
        <w:spacing w:after="0" w:line="262" w:lineRule="auto"/>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may determine that our comparative analytical similarity package is insufficient, that observed differences are clinically meaningful, or that our assays, specifications, or control strategy are inadequate;</w:t>
      </w:r>
    </w:p>
    <w:p>
      <w:pPr>
        <w:spacing w:after="0" w:line="94" w:lineRule="exact"/>
        <w:rPr>
          <w:rFonts w:ascii="Symbol" w:cs="Symbol" w:eastAsia="Symbol" w:hAnsi="Symbol"/>
          <w:sz w:val="20"/>
          <w:szCs w:val="20"/>
          <w:color w:val="auto"/>
        </w:rPr>
      </w:pPr>
    </w:p>
    <w:p>
      <w:pPr>
        <w:ind w:left="720" w:right="180" w:hanging="361"/>
        <w:spacing w:after="0" w:line="262" w:lineRule="auto"/>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may require additional or different clinical pharmacology, immunogenicity, safety, or comparative clinical studies (including comparative clinical efficacy studies) to address residual uncertainty;</w:t>
      </w:r>
    </w:p>
    <w:p>
      <w:pPr>
        <w:spacing w:after="0" w:line="95" w:lineRule="exact"/>
        <w:rPr>
          <w:rFonts w:ascii="Symbol" w:cs="Symbol" w:eastAsia="Symbol" w:hAnsi="Symbol"/>
          <w:sz w:val="20"/>
          <w:szCs w:val="20"/>
          <w:color w:val="auto"/>
        </w:rPr>
      </w:pPr>
    </w:p>
    <w:p>
      <w:pPr>
        <w:ind w:left="720" w:right="780" w:hanging="361"/>
        <w:spacing w:after="0" w:line="262" w:lineRule="auto"/>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may not accept certain data generated outside the United States or may require additional bridging or other justification for the use of any non-U.S.-licensed comparator product;</w:t>
      </w:r>
    </w:p>
    <w:p>
      <w:pPr>
        <w:spacing w:after="0" w:line="95" w:lineRule="exact"/>
        <w:rPr>
          <w:rFonts w:ascii="Symbol" w:cs="Symbol" w:eastAsia="Symbol" w:hAnsi="Symbol"/>
          <w:sz w:val="20"/>
          <w:szCs w:val="20"/>
          <w:color w:val="auto"/>
        </w:rPr>
      </w:pPr>
    </w:p>
    <w:p>
      <w:pPr>
        <w:ind w:left="720" w:right="460" w:hanging="361"/>
        <w:spacing w:after="0" w:line="251" w:lineRule="auto"/>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may identify deficiencies in our chemistry, manufacturing, and controls (“CMC”) information or in the manufacturing processes, quality systems, or facilities of our third-party manufacturers (including through pre-licensure inspections), or may require remediation or additional process validation;</w:t>
      </w:r>
    </w:p>
    <w:p>
      <w:pPr>
        <w:spacing w:after="0" w:line="107" w:lineRule="exact"/>
        <w:rPr>
          <w:rFonts w:ascii="Symbol" w:cs="Symbol" w:eastAsia="Symbol" w:hAnsi="Symbol"/>
          <w:sz w:val="20"/>
          <w:szCs w:val="20"/>
          <w:color w:val="auto"/>
        </w:rPr>
      </w:pPr>
    </w:p>
    <w:p>
      <w:pPr>
        <w:jc w:val="both"/>
        <w:ind w:left="720" w:right="380" w:hanging="361"/>
        <w:spacing w:after="0" w:line="251" w:lineRule="auto"/>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may approve ABP-450 only for a more limited set of indications than those sought by us (including denying or limiting extrapolation), or may impose labeling restrictions, distribution restrictions, risk management measures, or post-approval requirements; or</w:t>
      </w:r>
    </w:p>
    <w:p>
      <w:pPr>
        <w:spacing w:after="0" w:line="107" w:lineRule="exact"/>
        <w:rPr>
          <w:rFonts w:ascii="Symbol" w:cs="Symbol" w:eastAsia="Symbol" w:hAnsi="Symbol"/>
          <w:sz w:val="20"/>
          <w:szCs w:val="20"/>
          <w:color w:val="auto"/>
        </w:rPr>
      </w:pPr>
    </w:p>
    <w:p>
      <w:pPr>
        <w:ind w:left="720" w:hanging="361"/>
        <w:spacing w:after="0"/>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or other authorities may change applicable laws, regulations, guidance, policies, or enforcement practices.</w:t>
      </w:r>
    </w:p>
    <w:p>
      <w:pPr>
        <w:spacing w:after="0" w:line="224" w:lineRule="exact"/>
        <w:rPr>
          <w:sz w:val="20"/>
          <w:szCs w:val="20"/>
          <w:color w:val="auto"/>
        </w:rPr>
      </w:pPr>
    </w:p>
    <w:p>
      <w:pPr>
        <w:ind w:right="80" w:firstLine="361"/>
        <w:spacing w:after="0" w:line="247" w:lineRule="auto"/>
        <w:rPr>
          <w:sz w:val="20"/>
          <w:szCs w:val="20"/>
          <w:color w:val="auto"/>
        </w:rPr>
      </w:pPr>
      <w:r>
        <w:rPr>
          <w:rFonts w:ascii="Times New Roman" w:cs="Times New Roman" w:eastAsia="Times New Roman" w:hAnsi="Times New Roman"/>
          <w:sz w:val="20"/>
          <w:szCs w:val="20"/>
          <w:color w:val="auto"/>
        </w:rPr>
        <w:t>In addition, the complexity of biological products and the scientific and technical challenges associated with demonstrating high similarity may require significant time and resources. Comparative analytical assessment for a biosimilar product typically requires sensitive, orthogonal methods and sufficient lots of both the proposed product and the reference product. Differences observed during analytical similarity assessment or functional characterization may require additional scientific justification, increased testing, manufacturing changes, new or revised specifications, additional comparability data, or other remediation, any of which could delay development, increase costs, or prevent submission or approval of a Section 351(k) BLA.</w:t>
      </w:r>
    </w:p>
    <w:p>
      <w:pPr>
        <w:spacing w:after="0" w:line="199"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Clinical investigations are inherently uncertain and can be delayed, suspended or terminated. Prior to our strategic reprioritization to pursue a biosimilar pathway, our Phase 2 clinical trials for episodic and chronic migraine did not meet their respective primary endpoints and were discontinued. The FDA may consider our prior clinical experience in determining the clinical or other data it will</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780"/>
          </w:cols>
          <w:pgMar w:left="540" w:top="1349" w:right="560" w:bottom="0" w:gutter="0" w:footer="0" w:header="0"/>
          <w:type w:val="continuous"/>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20"/>
          <w:szCs w:val="20"/>
          <w:color w:val="auto"/>
        </w:rPr>
        <w:t>require for ABP-450’s development and potential licensure, which could lead the FDA to require additional studies or other data to address residual uncertainty or other concerns. Even if we believe our planned analytical and clinical program is appropriate, the FDA may require additional pre-approval or post-approval studies, may object to elements of our development program, or may require that our program be altered.</w:t>
      </w:r>
    </w:p>
    <w:p>
      <w:pPr>
        <w:spacing w:after="0" w:line="191"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Even if we demonstrate biosimilarity for ABP-450 and obtain approval of ABP-450 in one indication, the FDA may not permit extrapolation to additional indications approved for the reference product and may require additional data to support licensure for one or more indications. Any limitation on the indications for which ABP-450 is licensed (for example, exclusion of certain therapeutic indications or constraints on the patient populations eligible for treatment) could materially reduce the commercial opportunity for ABP-450.</w:t>
      </w:r>
    </w:p>
    <w:p>
      <w:pPr>
        <w:spacing w:after="0" w:line="197" w:lineRule="exact"/>
        <w:rPr>
          <w:sz w:val="20"/>
          <w:szCs w:val="20"/>
          <w:color w:val="auto"/>
        </w:rPr>
      </w:pPr>
    </w:p>
    <w:p>
      <w:pPr>
        <w:ind w:right="20" w:firstLine="360"/>
        <w:spacing w:after="0" w:line="247" w:lineRule="auto"/>
        <w:rPr>
          <w:sz w:val="20"/>
          <w:szCs w:val="20"/>
          <w:color w:val="auto"/>
        </w:rPr>
      </w:pPr>
      <w:r>
        <w:rPr>
          <w:rFonts w:ascii="Times New Roman" w:cs="Times New Roman" w:eastAsia="Times New Roman" w:hAnsi="Times New Roman"/>
          <w:sz w:val="20"/>
          <w:szCs w:val="20"/>
          <w:color w:val="auto"/>
        </w:rPr>
        <w:t>In addition to nonclinical and clinical requirements, FDA licensure will depend on the adequacy of our manufacturing and quality systems and those of any third -party manufacturers. We rely on third parties, including Daewoong Pharmaceutical Co., Ltd., for manufacturing ABP-450. The FDA will evaluate whether manufacturing facilities, methods and controls comply with cGMP and are adequate to preserve identity, strength, quality, purity and potency. If the FDA identifies deficiencies during inspections or in our CMC information, it may delay, limit, or deny licensure, require additional remediation or validation work, or require other changes that could materially delay development and commercialization.</w:t>
      </w:r>
    </w:p>
    <w:p>
      <w:pPr>
        <w:spacing w:after="0" w:line="200" w:lineRule="exact"/>
        <w:rPr>
          <w:sz w:val="20"/>
          <w:szCs w:val="20"/>
          <w:color w:val="auto"/>
        </w:rPr>
      </w:pPr>
    </w:p>
    <w:p>
      <w:pPr>
        <w:ind w:right="140" w:firstLine="361"/>
        <w:spacing w:after="0" w:line="246" w:lineRule="auto"/>
        <w:rPr>
          <w:sz w:val="20"/>
          <w:szCs w:val="20"/>
          <w:color w:val="auto"/>
        </w:rPr>
      </w:pPr>
      <w:r>
        <w:rPr>
          <w:rFonts w:ascii="Times New Roman" w:cs="Times New Roman" w:eastAsia="Times New Roman" w:hAnsi="Times New Roman"/>
          <w:sz w:val="20"/>
          <w:szCs w:val="20"/>
          <w:color w:val="auto"/>
        </w:rPr>
        <w:t>Even if we obtain regulatory approval, we may never be able to successfully commercialize ABP-450. Commercial success will depend on, among other things, physician and patient acceptance, payer coverage and reimbursement, contracting dynamics, formulary positioning, competitive responses by the reference product sponsor and other market participants, and our ability to build or access commercialization capabilities. Medicare Part B and other payor reimbursement methodologies (including those based on average sales price (ASP)) are complex and subject to change, and unfavorable coverage or reimbursement decisions, changes in reimbursement methodologies, or other policy developments could materially adversely affect the adoption, pricing, and commercial prospects for ABP-450.</w:t>
      </w:r>
    </w:p>
    <w:p>
      <w:pPr>
        <w:spacing w:after="0" w:line="2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develop and validate a robust comparative analytical similarity and CMC package for ABP-450 consistent with the FDA’s expectations for a 351(k) biosimilar BLA, we may be delayed or prevented from submitting or obtaining approval of a 351(k) BLA, and our business would be materially adversely affected.</w:t>
      </w:r>
    </w:p>
    <w:p>
      <w:pPr>
        <w:spacing w:after="0" w:line="188"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Our ability to obtain U.S. licensure for ABP-450 under section 351(k) depends on demonstrating, that ABP-450 is highly similar to an FDA-licensed reference product notwithstanding minor differences in clinically inactive components and that there are no clinically meaningful differences in safety, purity and potency. Comparative analytical and functional characterization and a complete, robust CMC package are generally the foundation of a Section 351(k) BLA submission. If we cannot generate, interpret, or adequately justify the comparative analytical data the FDA expects, or if the FDA determines our control strategy does not assure consistent product quality, we may be required to conduct additional studies, modify our manufacturing process, delay submission of a Section 351(k) BLA, or may be unable to obtain approval.</w:t>
      </w:r>
    </w:p>
    <w:p>
      <w:pPr>
        <w:spacing w:after="0" w:line="199" w:lineRule="exact"/>
        <w:rPr>
          <w:sz w:val="20"/>
          <w:szCs w:val="20"/>
          <w:color w:val="auto"/>
        </w:rPr>
      </w:pPr>
    </w:p>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Demonstrating analytical similarity may be particularly challenging for botulinum toxin products. The potency units of botulinum toxin products are specific to the preparation and assay method utilized and are not interchangeable across products, reflecting the importance and complexity of potency and functional assays and reference standards for this product class. Quantitating the active component and relevant impurities at very low concentrations and correlating those measurements to biological activity may require highly sensitive, validated analytical methods. Developing, qualifying, and validating a set of sensitive and specific assays, including orthogonal methods, to characterize the product and support similarity, may be technologically challenging, time-consuming and costly. The FDA may require additional method development or validation work, additional reference product lots, additional comparability analyses, alternative analytical approaches, or different acceptance criteria.</w:t>
      </w:r>
    </w:p>
    <w:p>
      <w:pPr>
        <w:spacing w:after="0" w:line="200"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20"/>
          <w:szCs w:val="20"/>
          <w:color w:val="auto"/>
        </w:rPr>
        <w:t>Our analytical program also depends on obtaining sufficient quantities and lots of the U.S.-licensed reference product for comparative testing, method qualification, and, if required, clinical investigations. Reference product supply constraints, controlled distribution channels, changes in list or net pricing, and other factors may limit our ability to obtain representative lots across time and within shelf life. If we cannot obtain adequate reference product supply, or if the lots we can obtain are not representative, our ability to characterize reference product variability or define appropriate similarity ranges may be compromised and the FDA may not accept our data package.</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780"/>
          </w:cols>
          <w:pgMar w:left="540" w:top="1349" w:right="560" w:bottom="0" w:gutter="0" w:footer="0" w:header="0"/>
          <w:type w:val="continuous"/>
        </w:sectPr>
      </w:pPr>
    </w:p>
    <w:bookmarkStart w:id="28" w:name="page29"/>
    <w:bookmarkEnd w:id="28"/>
    <w:p>
      <w:pPr>
        <w:ind w:firstLine="360"/>
        <w:spacing w:after="0" w:line="249" w:lineRule="auto"/>
        <w:rPr>
          <w:sz w:val="20"/>
          <w:szCs w:val="20"/>
          <w:color w:val="auto"/>
        </w:rPr>
      </w:pPr>
      <w:r>
        <w:rPr>
          <w:rFonts w:ascii="Times New Roman" w:cs="Times New Roman" w:eastAsia="Times New Roman" w:hAnsi="Times New Roman"/>
          <w:sz w:val="20"/>
          <w:szCs w:val="20"/>
          <w:color w:val="auto"/>
        </w:rPr>
        <w:t>In certain circumstances, biosimilar sponsors may seek to use a comparator product approved outside the United States or non-U.S. clinical data to support aspects of development. If we pursue any such approach, the FDA may require additional scientific justification and “bridging” analyses, including three-way comparisons among ABP-450, the U.S.-licensed reference product, and any non-U.S.-licensed comparator product, and the FDA could reject the relevance of such data. Any additional bridging work may be time-consuming and expensive and could delay development and submission.</w:t>
      </w:r>
    </w:p>
    <w:p>
      <w:pPr>
        <w:spacing w:after="0" w:line="198" w:lineRule="exact"/>
        <w:rPr>
          <w:sz w:val="20"/>
          <w:szCs w:val="20"/>
          <w:color w:val="auto"/>
        </w:rPr>
      </w:pPr>
    </w:p>
    <w:p>
      <w:pPr>
        <w:ind w:right="40" w:firstLine="361"/>
        <w:spacing w:after="0" w:line="247" w:lineRule="auto"/>
        <w:rPr>
          <w:sz w:val="20"/>
          <w:szCs w:val="20"/>
          <w:color w:val="auto"/>
        </w:rPr>
      </w:pPr>
      <w:r>
        <w:rPr>
          <w:rFonts w:ascii="Times New Roman" w:cs="Times New Roman" w:eastAsia="Times New Roman" w:hAnsi="Times New Roman"/>
          <w:sz w:val="20"/>
          <w:szCs w:val="20"/>
          <w:color w:val="auto"/>
        </w:rPr>
        <w:t>Even if we obtain adequate reference product supply, natural lot-to-lot variability, potential manufacturing changes over time by the reference product sponsor, and differences in storage, handling, or aging may contribute to variability in analytical results. We must account for such variability when establishing our comparative analytical assessment and setting specifications. If our analytical assessments identify differences that the FDA determines are clinically meaningful or otherwise raise residual uncertainty, the FDA may require additional nonclinical or clinical studies—including clinical pharmacology, immunogenicity, or comparative clinical efficacy studies—to support biosimilarity or to support extrapolation to additional indications.</w:t>
      </w:r>
    </w:p>
    <w:p>
      <w:pPr>
        <w:spacing w:after="0" w:line="199" w:lineRule="exact"/>
        <w:rPr>
          <w:sz w:val="20"/>
          <w:szCs w:val="20"/>
          <w:color w:val="auto"/>
        </w:rPr>
      </w:pPr>
    </w:p>
    <w:p>
      <w:pPr>
        <w:ind w:right="200" w:firstLine="361"/>
        <w:spacing w:after="0" w:line="246" w:lineRule="auto"/>
        <w:rPr>
          <w:sz w:val="20"/>
          <w:szCs w:val="20"/>
          <w:color w:val="auto"/>
        </w:rPr>
      </w:pPr>
      <w:r>
        <w:rPr>
          <w:rFonts w:ascii="Times New Roman" w:cs="Times New Roman" w:eastAsia="Times New Roman" w:hAnsi="Times New Roman"/>
          <w:sz w:val="20"/>
          <w:szCs w:val="20"/>
          <w:color w:val="auto"/>
        </w:rPr>
        <w:t>Stability and comparability also present risk. Differences in stability profiles, aggregation, impurities, container closure performance, or degradation pathways—whether real or apparent based on method limitations—could require reformulation, additional stability work, new specifications, or changes to manufacturing controls. In addition, if we or our manufacturers make changes in manufacturing processes, quality systems, raw materials, sites, or equipment, we may need to generate additional comparability data to demonstrate that the product remains consistent with the material evaluated in our analytical program and any clinical investigations. These requirements could be heightened for a biosimilar program because the analytical similarity determination is a central basis for licensure.</w:t>
      </w:r>
    </w:p>
    <w:p>
      <w:pPr>
        <w:spacing w:after="0" w:line="201"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We rely on third parties, including Daewoong Pharmaceutical Co., Ltd., for manufacturing ABP-450. Our ability to generate a consistent analytical comparability package and to support a Section 351(k) BLA also depends on the ability of our manufacturers to produce ABP-450 consistently and in compliance with cGMP, and the FDA may inspect manufacturing facilities in connection with a BLA. Manufacturing deviations, out-of-specification results, control strategy deficiencies, or inspection findings could require remediation, cause delays, result in batch failures or supply interruptions, or prevent submission or approval of a BLA.</w:t>
      </w:r>
    </w:p>
    <w:p>
      <w:pPr>
        <w:spacing w:after="0" w:line="197" w:lineRule="exact"/>
        <w:rPr>
          <w:sz w:val="20"/>
          <w:szCs w:val="20"/>
          <w:color w:val="auto"/>
        </w:rPr>
      </w:pPr>
    </w:p>
    <w:p>
      <w:pPr>
        <w:ind w:right="140" w:firstLine="360"/>
        <w:spacing w:after="0" w:line="249" w:lineRule="auto"/>
        <w:rPr>
          <w:sz w:val="20"/>
          <w:szCs w:val="20"/>
          <w:color w:val="auto"/>
        </w:rPr>
      </w:pPr>
      <w:r>
        <w:rPr>
          <w:rFonts w:ascii="Times New Roman" w:cs="Times New Roman" w:eastAsia="Times New Roman" w:hAnsi="Times New Roman"/>
          <w:sz w:val="20"/>
          <w:szCs w:val="20"/>
          <w:color w:val="auto"/>
        </w:rPr>
        <w:t>If we cannot demonstrate satisfactory analytical similarity and CMC robustness, we may experience delays, incur substantial costs, be forced to narrow the indications or conditions of use we pursue, or be unable to obtain licensure under Section 351(k). Any such outcome could materially harm our commercialization plans and competitive position and could adversely affect coverage, reimbursement, and market adoption dynamics for ABP-450, particularly in settings where physician-administered biologics are sensitive to reimbursement and pricing methodologies.</w:t>
      </w:r>
    </w:p>
    <w:p>
      <w:pPr>
        <w:spacing w:after="0" w:line="198"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Clinical development for a proposed biosimilar product involves a lengthy, expensive and uncertain process, including extensive comparative analytical work and potentially clinical investigations; we may incur greater costs than we anticipate or encounter substantial delays or difficulties in our studies.</w:t>
      </w:r>
    </w:p>
    <w:p>
      <w:pPr>
        <w:spacing w:after="0" w:line="187" w:lineRule="exact"/>
        <w:rPr>
          <w:sz w:val="20"/>
          <w:szCs w:val="20"/>
          <w:color w:val="auto"/>
        </w:rPr>
      </w:pPr>
    </w:p>
    <w:p>
      <w:pPr>
        <w:ind w:right="180" w:firstLine="360"/>
        <w:spacing w:after="0" w:line="247" w:lineRule="auto"/>
        <w:rPr>
          <w:sz w:val="20"/>
          <w:szCs w:val="20"/>
          <w:color w:val="auto"/>
        </w:rPr>
      </w:pPr>
      <w:r>
        <w:rPr>
          <w:rFonts w:ascii="Times New Roman" w:cs="Times New Roman" w:eastAsia="Times New Roman" w:hAnsi="Times New Roman"/>
          <w:sz w:val="20"/>
          <w:szCs w:val="20"/>
          <w:color w:val="auto"/>
        </w:rPr>
        <w:t>We may not commercialize, market, promote or sell any product candidate, including ABP-450, in the United States unless and until we obtain regulatory approval from the FDA, and we may never receive such approval. Our current strategy is focused on pursuing a BLA for ABP-450 under the abbreviated pathway for biosimilar biological products under Section 351(k) of the Public Health Service Act. Although the biosimilar pathway differs from the stand-alone 351(a) pathway, it remains an expensive, time-consuming and uncertain process that may take several years and requires significant management attention and financial resources.</w:t>
      </w:r>
    </w:p>
    <w:p>
      <w:pPr>
        <w:spacing w:after="0" w:line="200" w:lineRule="exact"/>
        <w:rPr>
          <w:sz w:val="20"/>
          <w:szCs w:val="20"/>
          <w:color w:val="auto"/>
        </w:rPr>
      </w:pPr>
    </w:p>
    <w:p>
      <w:pPr>
        <w:ind w:right="300" w:firstLine="360"/>
        <w:spacing w:after="0" w:line="278" w:lineRule="auto"/>
        <w:rPr>
          <w:sz w:val="20"/>
          <w:szCs w:val="20"/>
          <w:color w:val="auto"/>
        </w:rPr>
      </w:pPr>
      <w:r>
        <w:rPr>
          <w:rFonts w:ascii="Times New Roman" w:cs="Times New Roman" w:eastAsia="Times New Roman" w:hAnsi="Times New Roman"/>
          <w:sz w:val="20"/>
          <w:szCs w:val="20"/>
          <w:color w:val="auto"/>
        </w:rPr>
        <w:t>To obtain licensure under section 351(k), we must demonstrate that ABP-450 is biosimilar to a single FDA-licensed reference product. Clinical development is generally required to demonstrate biosimilarity.</w:t>
      </w:r>
    </w:p>
    <w:p>
      <w:pPr>
        <w:spacing w:after="0" w:line="168" w:lineRule="exact"/>
        <w:rPr>
          <w:sz w:val="20"/>
          <w:szCs w:val="20"/>
          <w:color w:val="auto"/>
        </w:rPr>
      </w:pPr>
    </w:p>
    <w:p>
      <w:pPr>
        <w:ind w:right="60" w:firstLine="360"/>
        <w:spacing w:after="0" w:line="247" w:lineRule="auto"/>
        <w:rPr>
          <w:sz w:val="20"/>
          <w:szCs w:val="20"/>
          <w:color w:val="auto"/>
        </w:rPr>
      </w:pPr>
      <w:r>
        <w:rPr>
          <w:rFonts w:ascii="Times New Roman" w:cs="Times New Roman" w:eastAsia="Times New Roman" w:hAnsi="Times New Roman"/>
          <w:sz w:val="20"/>
          <w:szCs w:val="20"/>
          <w:color w:val="auto"/>
        </w:rPr>
        <w:t>Clinical investigations are expensive, difficult to design and implement, can take many years to complete, and are uncertain as to outcome. In addition, biosimilar development depends heavily on sophisticated analytical testing and method development, including establishing and validating assays and specifications that are sufficiently sensitive to detect potentially clinically meaningful differences. We cannot guarantee that our analytical studies or clinical investigations will be conducted as planned or completed on schedule, if at all. A failure can occur at any stage, and many companies that have believed their product candidates performed satisfactorily in testing have nonetheless failed to obtain regulatory approval.</w:t>
      </w:r>
    </w:p>
    <w:p>
      <w:pPr>
        <w:sectPr>
          <w:pgSz w:w="11880" w:h="15480" w:orient="portrait"/>
          <w:cols w:equalWidth="0" w:num="1">
            <w:col w:w="10740"/>
          </w:cols>
          <w:pgMar w:left="540" w:top="13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740"/>
          </w:cols>
          <w:pgMar w:left="540" w:top="1349" w:right="600" w:bottom="0" w:gutter="0" w:footer="0" w:header="0"/>
          <w:type w:val="continuous"/>
        </w:sectPr>
      </w:pPr>
    </w:p>
    <w:bookmarkStart w:id="29" w:name="page30"/>
    <w:bookmarkEnd w:id="29"/>
    <w:p>
      <w:pPr>
        <w:ind w:firstLine="360"/>
        <w:spacing w:after="0" w:line="249" w:lineRule="auto"/>
        <w:rPr>
          <w:sz w:val="20"/>
          <w:szCs w:val="20"/>
          <w:color w:val="auto"/>
        </w:rPr>
      </w:pPr>
      <w:r>
        <w:rPr>
          <w:rFonts w:ascii="Times New Roman" w:cs="Times New Roman" w:eastAsia="Times New Roman" w:hAnsi="Times New Roman"/>
          <w:sz w:val="20"/>
          <w:szCs w:val="20"/>
          <w:color w:val="auto"/>
        </w:rPr>
        <w:t>The results from preclinical studies or early clinical investigations of a product candidate may not predict the results of later investigations, and interim results are not necessarily indicative of final results. Product candidates in later stages may fail to show the desired characteristics despite having progressed through earlier testing. In particular, while we have conducted clinical studies evaluating ABP-450 in patients with cervical dystonia and migraines, we do not know whether ABP-450 will perform as expected in future clinical investigations designed to support a biosimilar submission.</w:t>
      </w:r>
    </w:p>
    <w:p>
      <w:pPr>
        <w:spacing w:after="0" w:line="198" w:lineRule="exact"/>
        <w:rPr>
          <w:sz w:val="20"/>
          <w:szCs w:val="20"/>
          <w:color w:val="auto"/>
        </w:rPr>
      </w:pPr>
    </w:p>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Moreover, data generated during a biosimilar program may be susceptible to varying interpretations and analyses. Differences observed during comparative analytical assessment or in clinical pharmacology, immunogenicity, safety or comparative clinical studies could result in the need for additional studies, additional manufacturing work, or changes to our development strategy, any of which could delay or prevent our ability to obtain regulatory approval. For example, our Phase 2 clinical trials for episodic and chronic migraine did not meet their respective primary endpoints. As a result, in May 2024, we announced the discontinuation of our Phase 2 clinical trials for episodic and chronic migraine, in part to implement cash preservation measures. The FDA may consider our prior clinical experience in determining the clinical or other data it will require for ABP-450’s development and licensure, which could lead the FDA to require additional studies or other data to address residual uncertainty or other concerns.</w:t>
      </w:r>
    </w:p>
    <w:p>
      <w:pPr>
        <w:spacing w:after="0" w:line="202" w:lineRule="exact"/>
        <w:rPr>
          <w:sz w:val="20"/>
          <w:szCs w:val="20"/>
          <w:color w:val="auto"/>
        </w:rPr>
      </w:pPr>
    </w:p>
    <w:p>
      <w:pPr>
        <w:ind w:right="100" w:firstLine="360"/>
        <w:spacing w:after="0" w:line="278" w:lineRule="auto"/>
        <w:rPr>
          <w:sz w:val="20"/>
          <w:szCs w:val="20"/>
          <w:color w:val="auto"/>
        </w:rPr>
      </w:pPr>
      <w:r>
        <w:rPr>
          <w:rFonts w:ascii="Times New Roman" w:cs="Times New Roman" w:eastAsia="Times New Roman" w:hAnsi="Times New Roman"/>
          <w:sz w:val="19"/>
          <w:szCs w:val="19"/>
          <w:color w:val="auto"/>
        </w:rPr>
        <w:t>We do not know whether our planned clinical investigations will be completed on schedule, if at all. We may experience numerous unforeseen events prior to, during, or as a result of analytical studies and clinical investigations that could delay or prevent our ability to receive regulatory approval or to commercialize ABP-450 or any other product candidate, including the following:</w:t>
      </w:r>
    </w:p>
    <w:p>
      <w:pPr>
        <w:spacing w:after="0" w:line="185" w:lineRule="exact"/>
        <w:rPr>
          <w:sz w:val="20"/>
          <w:szCs w:val="20"/>
          <w:color w:val="auto"/>
        </w:rPr>
      </w:pPr>
    </w:p>
    <w:p>
      <w:pPr>
        <w:jc w:val="both"/>
        <w:ind w:left="720" w:right="160" w:hanging="361"/>
        <w:spacing w:after="0" w:line="247"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delays in reaching consensus with the FDA on the overall development plan, including the scope of comparative analytical testing, the adequacy of our assay strategy, and the design of clinical pharmacology, immunogenicity, and any comparative clinical studies;</w:t>
      </w:r>
    </w:p>
    <w:p>
      <w:pPr>
        <w:ind w:left="720" w:right="140" w:hanging="360"/>
        <w:spacing w:after="0" w:line="239"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regulators, institutional review boards (“IRBs”) and ethics committees may not allow or authorize us or our investigators to commence or continue an investigation or conduct an investigation at a prospective study site;</w:t>
      </w:r>
    </w:p>
    <w:p>
      <w:pPr>
        <w:spacing w:after="0" w:line="1" w:lineRule="exact"/>
        <w:rPr>
          <w:rFonts w:ascii="Symbol" w:cs="Symbol" w:eastAsia="Symbol" w:hAnsi="Symbol"/>
          <w:sz w:val="20"/>
          <w:szCs w:val="20"/>
          <w:color w:val="auto"/>
        </w:rPr>
      </w:pPr>
    </w:p>
    <w:p>
      <w:pPr>
        <w:ind w:left="720" w:hanging="360"/>
        <w:spacing w:after="0"/>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delays in identifying, recruiting and training suitable clinical investigators and clinical sites;</w:t>
      </w:r>
    </w:p>
    <w:p>
      <w:pPr>
        <w:ind w:left="720" w:right="300" w:hanging="360"/>
        <w:spacing w:after="0" w:line="252" w:lineRule="auto"/>
        <w:tabs>
          <w:tab w:leader="none" w:pos="720" w:val="left"/>
        </w:tabs>
        <w:numPr>
          <w:ilvl w:val="0"/>
          <w:numId w:val="25"/>
        </w:numPr>
        <w:rPr>
          <w:rFonts w:ascii="Symbol" w:cs="Symbol" w:eastAsia="Symbol" w:hAnsi="Symbol"/>
          <w:sz w:val="19"/>
          <w:szCs w:val="19"/>
          <w:color w:val="auto"/>
        </w:rPr>
      </w:pPr>
      <w:r>
        <w:rPr>
          <w:rFonts w:ascii="Times New Roman" w:cs="Times New Roman" w:eastAsia="Times New Roman" w:hAnsi="Times New Roman"/>
          <w:sz w:val="19"/>
          <w:szCs w:val="19"/>
          <w:color w:val="auto"/>
        </w:rPr>
        <w:t>delays in reaching agreement on acceptable terms with prospective contract research organizations (“CROs”) and clinical sites, the terms of which can be subject to extensive negotiation and may vary significantly among CROs and sites;</w:t>
      </w:r>
    </w:p>
    <w:p>
      <w:pPr>
        <w:ind w:left="720" w:right="980" w:hanging="360"/>
        <w:spacing w:after="0" w:line="239"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delays or failures by our contract manufacturers, including Daewoong, to comply with cGMP or other applicable requirements, or to provide sufficient supply of ABP-450 for use in our analytical and clinical activities;</w:t>
      </w:r>
    </w:p>
    <w:p>
      <w:pPr>
        <w:spacing w:after="0" w:line="1" w:lineRule="exact"/>
        <w:rPr>
          <w:rFonts w:ascii="Symbol" w:cs="Symbol" w:eastAsia="Symbol" w:hAnsi="Symbol"/>
          <w:sz w:val="20"/>
          <w:szCs w:val="20"/>
          <w:color w:val="auto"/>
        </w:rPr>
      </w:pPr>
    </w:p>
    <w:p>
      <w:pPr>
        <w:ind w:left="720" w:right="1060" w:hanging="360"/>
        <w:spacing w:after="0"/>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difficulties developing, qualifying, and validating analytical and functional methods (including potency assays), specifications, and a control strategy that the FDA considers adequate for a biosimilar submission;</w:t>
      </w:r>
    </w:p>
    <w:p>
      <w:pPr>
        <w:ind w:left="720" w:hanging="360"/>
        <w:spacing w:after="0" w:line="239"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difficulty obtaining sufficient quantities and lots of the U.S.-licensed reference product for comparative analytical testing and any required clinical studies, and potential limitations on distribution or supply that delay our work;</w:t>
      </w:r>
    </w:p>
    <w:p>
      <w:pPr>
        <w:spacing w:after="0" w:line="1" w:lineRule="exact"/>
        <w:rPr>
          <w:rFonts w:ascii="Symbol" w:cs="Symbol" w:eastAsia="Symbol" w:hAnsi="Symbol"/>
          <w:sz w:val="20"/>
          <w:szCs w:val="20"/>
          <w:color w:val="auto"/>
        </w:rPr>
      </w:pPr>
    </w:p>
    <w:p>
      <w:pPr>
        <w:ind w:left="720" w:right="260" w:hanging="360"/>
        <w:spacing w:after="0" w:line="239"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seek to use any non-U.S.-licensed comparator product in certain studies, the FDA may require additional “bridging” analyses or other justification to support the relevance of such data to the U.S.-licensed reference product;</w:t>
      </w:r>
    </w:p>
    <w:p>
      <w:pPr>
        <w:spacing w:after="0" w:line="1" w:lineRule="exact"/>
        <w:rPr>
          <w:rFonts w:ascii="Symbol" w:cs="Symbol" w:eastAsia="Symbol" w:hAnsi="Symbol"/>
          <w:sz w:val="20"/>
          <w:szCs w:val="20"/>
          <w:color w:val="auto"/>
        </w:rPr>
      </w:pPr>
    </w:p>
    <w:p>
      <w:pPr>
        <w:ind w:left="720" w:right="280" w:hanging="360"/>
        <w:spacing w:after="0" w:line="239"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the number of subjects required for clinical investigations may be larger than anticipated, enrollment may be slower than anticipated, participants may drop out at a higher rate than anticipated, participants may fail to return for follow-up, or we may fail to recruit suitable subjects;</w:t>
      </w:r>
    </w:p>
    <w:p>
      <w:pPr>
        <w:spacing w:after="0" w:line="2" w:lineRule="exact"/>
        <w:rPr>
          <w:rFonts w:ascii="Symbol" w:cs="Symbol" w:eastAsia="Symbol" w:hAnsi="Symbol"/>
          <w:sz w:val="20"/>
          <w:szCs w:val="20"/>
          <w:color w:val="auto"/>
        </w:rPr>
      </w:pPr>
    </w:p>
    <w:p>
      <w:pPr>
        <w:ind w:left="720" w:right="460" w:hanging="361"/>
        <w:spacing w:after="0" w:line="238" w:lineRule="auto"/>
        <w:tabs>
          <w:tab w:leader="none" w:pos="719"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IRBs may refuse to approve, suspend or terminate a study at an investigational site, precluding enrollment of additional subjects, or withdraw their approval;</w:t>
      </w:r>
    </w:p>
    <w:p>
      <w:pPr>
        <w:spacing w:after="0" w:line="1" w:lineRule="exact"/>
        <w:rPr>
          <w:rFonts w:ascii="Symbol" w:cs="Symbol" w:eastAsia="Symbol" w:hAnsi="Symbol"/>
          <w:sz w:val="20"/>
          <w:szCs w:val="20"/>
          <w:color w:val="auto"/>
        </w:rPr>
      </w:pPr>
    </w:p>
    <w:p>
      <w:pPr>
        <w:ind w:left="720" w:hanging="360"/>
        <w:spacing w:after="0"/>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or amendments to protocols (including those required by the FDA, IRBs, or ethics committees);</w:t>
      </w:r>
    </w:p>
    <w:p>
      <w:pPr>
        <w:ind w:left="720" w:hanging="360"/>
        <w:spacing w:after="0"/>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clinical sites may deviate from protocols, data integrity issues may arise, or sites may drop out of a study;</w:t>
      </w:r>
    </w:p>
    <w:p>
      <w:pPr>
        <w:ind w:left="720" w:right="240" w:hanging="359"/>
        <w:spacing w:after="0" w:line="239"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failure by CROs to perform in accordance with good clinical practice (“GCP”) requirements or applicable regulatory rules and guidelines;</w:t>
      </w:r>
    </w:p>
    <w:p>
      <w:pPr>
        <w:spacing w:after="0" w:line="1" w:lineRule="exact"/>
        <w:rPr>
          <w:rFonts w:ascii="Symbol" w:cs="Symbol" w:eastAsia="Symbol" w:hAnsi="Symbol"/>
          <w:sz w:val="20"/>
          <w:szCs w:val="20"/>
          <w:color w:val="auto"/>
        </w:rPr>
      </w:pPr>
    </w:p>
    <w:p>
      <w:pPr>
        <w:ind w:left="720" w:hanging="359"/>
        <w:spacing w:after="0" w:line="238"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lack of adequate funding to continue a study, or costs being greater than anticipated;</w:t>
      </w:r>
    </w:p>
    <w:p>
      <w:pPr>
        <w:ind w:left="720" w:hanging="359"/>
        <w:spacing w:after="0"/>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subjects experiencing severe or serious unexpected adverse events;</w:t>
      </w:r>
    </w:p>
    <w:p>
      <w:pPr>
        <w:ind w:left="720" w:right="540" w:hanging="359"/>
        <w:spacing w:after="0" w:line="239"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clinical investigations producing negative, ambiguous or inconclusive results, or results that do not adequately address residual uncertainty;</w:t>
      </w:r>
    </w:p>
    <w:p>
      <w:pPr>
        <w:spacing w:after="0" w:line="1" w:lineRule="exact"/>
        <w:rPr>
          <w:rFonts w:ascii="Symbol" w:cs="Symbol" w:eastAsia="Symbol" w:hAnsi="Symbol"/>
          <w:sz w:val="20"/>
          <w:szCs w:val="20"/>
          <w:color w:val="auto"/>
        </w:rPr>
      </w:pPr>
    </w:p>
    <w:p>
      <w:pPr>
        <w:ind w:left="720" w:right="40" w:hanging="359"/>
        <w:spacing w:after="0"/>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imposing a clinical hold due to a serious adverse event, concerns with a class of products, deficiencies in our INDs, inspection findings, or other regulatory concerns;</w:t>
      </w:r>
    </w:p>
    <w:p>
      <w:pPr>
        <w:ind w:left="720" w:right="240" w:hanging="360"/>
        <w:spacing w:after="0" w:line="239"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decide, or regulators may require us, to conduct additional analytical or clinical work, to modify our development plans, or to abandon product development programs; or</w:t>
      </w:r>
    </w:p>
    <w:p>
      <w:pPr>
        <w:spacing w:after="0" w:line="1" w:lineRule="exact"/>
        <w:rPr>
          <w:rFonts w:ascii="Symbol" w:cs="Symbol" w:eastAsia="Symbol" w:hAnsi="Symbol"/>
          <w:sz w:val="20"/>
          <w:szCs w:val="20"/>
          <w:color w:val="auto"/>
        </w:rPr>
      </w:pPr>
    </w:p>
    <w:p>
      <w:pPr>
        <w:ind w:left="720" w:right="340" w:hanging="360"/>
        <w:spacing w:after="0" w:line="239"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the impacts of any public health outbreaks (such as the COVID-19 pandemic) on our ongoing and planned analytical and clinical activities.</w:t>
      </w:r>
    </w:p>
    <w:p>
      <w:pPr>
        <w:sectPr>
          <w:pgSz w:w="11880" w:h="15480" w:orient="portrait"/>
          <w:cols w:equalWidth="0" w:num="1">
            <w:col w:w="10740"/>
          </w:cols>
          <w:pgMar w:left="540" w:top="1349" w:right="60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740"/>
          </w:cols>
          <w:pgMar w:left="540" w:top="1349" w:right="600" w:bottom="0" w:gutter="0" w:footer="0" w:header="0"/>
          <w:type w:val="continuous"/>
        </w:sectPr>
      </w:pPr>
    </w:p>
    <w:bookmarkStart w:id="30" w:name="page31"/>
    <w:bookmarkEnd w:id="30"/>
    <w:p>
      <w:pPr>
        <w:ind w:right="140" w:firstLine="360"/>
        <w:spacing w:after="0" w:line="249" w:lineRule="auto"/>
        <w:rPr>
          <w:sz w:val="20"/>
          <w:szCs w:val="20"/>
          <w:color w:val="auto"/>
        </w:rPr>
      </w:pPr>
      <w:r>
        <w:rPr>
          <w:rFonts w:ascii="Times New Roman" w:cs="Times New Roman" w:eastAsia="Times New Roman" w:hAnsi="Times New Roman"/>
          <w:sz w:val="20"/>
          <w:szCs w:val="20"/>
          <w:color w:val="auto"/>
        </w:rPr>
        <w:t>Any inability to successfully complete our analytical and clinical development program could result in additional costs to us or impair our ability to generate revenue from future product sales or other sources. In addition, if we make manufacturing, formulation or process changes to ABP-450, change facilities, or modify our analytical methods or specifications, we may need to generate additional comparability, stability, analytical, and/or clinical data to bridge our modified product candidate to earlier versions or to demonstrate that such changes do not adversely affect the basis for biosimilarity.</w:t>
      </w:r>
    </w:p>
    <w:p>
      <w:pPr>
        <w:spacing w:after="0" w:line="198" w:lineRule="exact"/>
        <w:rPr>
          <w:sz w:val="20"/>
          <w:szCs w:val="20"/>
          <w:color w:val="auto"/>
        </w:rPr>
      </w:pPr>
    </w:p>
    <w:p>
      <w:pPr>
        <w:ind w:right="140" w:firstLine="361"/>
        <w:spacing w:after="0" w:line="258" w:lineRule="auto"/>
        <w:rPr>
          <w:sz w:val="20"/>
          <w:szCs w:val="20"/>
          <w:color w:val="auto"/>
        </w:rPr>
      </w:pPr>
      <w:r>
        <w:rPr>
          <w:rFonts w:ascii="Times New Roman" w:cs="Times New Roman" w:eastAsia="Times New Roman" w:hAnsi="Times New Roman"/>
          <w:sz w:val="20"/>
          <w:szCs w:val="20"/>
          <w:color w:val="auto"/>
        </w:rPr>
        <w:t>Clinical and analytical delays could also allow competitors to bring competing products to market before we do, reduce the time available for us to execute a commercial launch strategy, and otherwise impair our ability to successfully commercialize ABP-450, which may harm our business, financial condition, results of operations and prospects.</w:t>
      </w:r>
    </w:p>
    <w:p>
      <w:pPr>
        <w:spacing w:after="0" w:line="188" w:lineRule="exact"/>
        <w:rPr>
          <w:sz w:val="20"/>
          <w:szCs w:val="20"/>
          <w:color w:val="auto"/>
        </w:rPr>
      </w:pPr>
    </w:p>
    <w:p>
      <w:pPr>
        <w:ind w:firstLine="361"/>
        <w:spacing w:after="0" w:line="247" w:lineRule="auto"/>
        <w:rPr>
          <w:sz w:val="20"/>
          <w:szCs w:val="20"/>
          <w:color w:val="auto"/>
        </w:rPr>
      </w:pPr>
      <w:r>
        <w:rPr>
          <w:rFonts w:ascii="Times New Roman" w:cs="Times New Roman" w:eastAsia="Times New Roman" w:hAnsi="Times New Roman"/>
          <w:sz w:val="20"/>
          <w:szCs w:val="20"/>
          <w:color w:val="auto"/>
        </w:rPr>
        <w:t>Additionally, if results of our analytical studies or clinical investigations are inconclusive or if there are safety concerns or serious adverse events associated with ABP-450, we may be delayed in obtaining regulatory approval, not obtain regulatory approval at all, obtain approval only in narrower indications or patient populations than intended, obtain approval with labeling that includes significant restrictions or safety warnings, be subject to additional post-marketing testing requirements, have regulatory authorities withdraw or suspend approval, impose restrictions on distribution in the form of a risk evaluation and mitigation strategy (REMS), be sued, or experience damage to our reputation.</w:t>
      </w:r>
    </w:p>
    <w:p>
      <w:pPr>
        <w:spacing w:after="0" w:line="199" w:lineRule="exact"/>
        <w:rPr>
          <w:sz w:val="20"/>
          <w:szCs w:val="20"/>
          <w:color w:val="auto"/>
        </w:rPr>
      </w:pPr>
    </w:p>
    <w:p>
      <w:pPr>
        <w:ind w:right="160" w:firstLine="361"/>
        <w:spacing w:after="0" w:line="245" w:lineRule="auto"/>
        <w:rPr>
          <w:sz w:val="20"/>
          <w:szCs w:val="20"/>
          <w:color w:val="auto"/>
        </w:rPr>
      </w:pPr>
      <w:r>
        <w:rPr>
          <w:rFonts w:ascii="Times New Roman" w:cs="Times New Roman" w:eastAsia="Times New Roman" w:hAnsi="Times New Roman"/>
          <w:sz w:val="20"/>
          <w:szCs w:val="20"/>
          <w:color w:val="auto"/>
        </w:rPr>
        <w:t>Our product development costs will increase if we experience delays in analytical testing, clinical investigations, manufacturing scale-up, or obtaining regulatory approvals. Further, we, the FDA, a foreign regulatory authority (if applicable), an ethics committee or an IRB may suspend our clinical investigations at any time if it appears that we are failing to conduct a study in accordance with regulatory requirements (including GCP), that we are exposing participants to unacceptable health risks, or if the FDA finds deficiencies in our current or planned investigational new drug applications (INDs) or the conduct of these studies. Therefore, we cannot predict with certainty the schedule for commencement and completion of future analytical studies or clinical investigations, including any planned pivotal study, and delays could negatively impact the commercial prospects of ABP-450 and delay our ability to generate revenue.</w:t>
      </w:r>
    </w:p>
    <w:p>
      <w:pPr>
        <w:spacing w:after="0" w:line="203" w:lineRule="exact"/>
        <w:rPr>
          <w:sz w:val="20"/>
          <w:szCs w:val="20"/>
          <w:color w:val="auto"/>
        </w:rPr>
      </w:pPr>
    </w:p>
    <w:p>
      <w:pPr>
        <w:ind w:right="100" w:firstLine="361"/>
        <w:spacing w:after="0" w:line="247" w:lineRule="auto"/>
        <w:rPr>
          <w:sz w:val="20"/>
          <w:szCs w:val="20"/>
          <w:color w:val="auto"/>
        </w:rPr>
      </w:pPr>
      <w:r>
        <w:rPr>
          <w:rFonts w:ascii="Times New Roman" w:cs="Times New Roman" w:eastAsia="Times New Roman" w:hAnsi="Times New Roman"/>
          <w:sz w:val="20"/>
          <w:szCs w:val="20"/>
          <w:color w:val="auto"/>
        </w:rPr>
        <w:t>Additionally, certain of our scientific advisors or consultants who receive compensation from us are likely to be investigators for our future clinical investigations. Under certain circumstances, we may be required to report some of these relationships to the FDA. The FDA may conclude that a financial relationship between us and a principal investigator has created a conflict of interest or otherwise affected interpretation of the study. The FDA may therefore question the integrity of the data generated at the applicable clinical study site and the utility of the clinical investigation itself may be jeopardized. This could result in a delay in approval or rejection of our marketing applications and may ultimately lead to denial of regulatory approval of ABP-450.</w:t>
      </w:r>
    </w:p>
    <w:p>
      <w:pPr>
        <w:spacing w:after="0" w:line="200" w:lineRule="exact"/>
        <w:rPr>
          <w:sz w:val="20"/>
          <w:szCs w:val="20"/>
          <w:color w:val="auto"/>
        </w:rPr>
      </w:pPr>
    </w:p>
    <w:p>
      <w:pPr>
        <w:ind w:right="360" w:firstLine="3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Enrollment and retention of patients in clinical studies is an expensive and time-consuming process and could be delayed, made more difficult or rendered impossible by multiple factors outside our control. If we experience delays or difficulties in enrolling patients in clinical studies, our clinical development activities could be delayed or otherwise adversely affected.</w:t>
      </w:r>
    </w:p>
    <w:p>
      <w:pPr>
        <w:spacing w:after="0" w:line="187"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Identifying and qualifying patients to participate in our clinical studies is critical to our success. We may encounter difficulties in enrolling patients in our clinical studies and may compete against other clinical studies for the same pool of potential patients, thereby delaying or preventing development and potential regulatory approval of ABP-450. Patient enrollment in clinical trials may be affected by other factors, including:</w:t>
      </w:r>
    </w:p>
    <w:p>
      <w:pPr>
        <w:spacing w:after="0" w:line="205" w:lineRule="exact"/>
        <w:rPr>
          <w:sz w:val="20"/>
          <w:szCs w:val="20"/>
          <w:color w:val="auto"/>
        </w:rPr>
      </w:pPr>
    </w:p>
    <w:p>
      <w:pPr>
        <w:ind w:left="720" w:hanging="362"/>
        <w:spacing w:after="0"/>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size and nature of the targeted patient population;</w:t>
      </w:r>
    </w:p>
    <w:p>
      <w:pPr>
        <w:spacing w:after="0" w:line="21" w:lineRule="exact"/>
        <w:rPr>
          <w:rFonts w:ascii="Symbol" w:cs="Symbol" w:eastAsia="Symbol" w:hAnsi="Symbol"/>
          <w:sz w:val="20"/>
          <w:szCs w:val="20"/>
          <w:color w:val="auto"/>
        </w:rPr>
      </w:pPr>
    </w:p>
    <w:p>
      <w:pPr>
        <w:ind w:left="720" w:hanging="362"/>
        <w:spacing w:after="0"/>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severity of the disease or condition under investigation;</w:t>
      </w:r>
    </w:p>
    <w:p>
      <w:pPr>
        <w:ind w:left="720" w:hanging="362"/>
        <w:spacing w:after="0" w:line="238" w:lineRule="auto"/>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availability and efficacy of approved therapies for the disease or condition under investigation;</w:t>
      </w:r>
    </w:p>
    <w:p>
      <w:pPr>
        <w:ind w:left="720" w:hanging="360"/>
        <w:spacing w:after="0" w:line="238" w:lineRule="auto"/>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patient eligibility criteria for the trial in question as defined in the protocol;</w:t>
      </w:r>
    </w:p>
    <w:p>
      <w:pPr>
        <w:ind w:left="720" w:hanging="360"/>
        <w:spacing w:after="0" w:line="238" w:lineRule="auto"/>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perceived risks and benefits of the product candidate under study;</w:t>
      </w:r>
    </w:p>
    <w:p>
      <w:pPr>
        <w:ind w:left="720" w:right="100" w:hanging="360"/>
        <w:spacing w:after="0" w:line="239" w:lineRule="auto"/>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clinicians’ and patients’ perceptions as to the potential advantages of the product candidate being studied in relation to other available therapies, including any products that may be approved for, or any product candidates under investigation for, the indications we are investigating; efforts to facilitate timely enrollment in clinical trials;</w:t>
      </w:r>
    </w:p>
    <w:p>
      <w:pPr>
        <w:spacing w:after="0" w:line="2" w:lineRule="exact"/>
        <w:rPr>
          <w:rFonts w:ascii="Symbol" w:cs="Symbol" w:eastAsia="Symbol" w:hAnsi="Symbol"/>
          <w:sz w:val="20"/>
          <w:szCs w:val="20"/>
          <w:color w:val="auto"/>
        </w:rPr>
      </w:pPr>
    </w:p>
    <w:p>
      <w:pPr>
        <w:ind w:left="720" w:hanging="360"/>
        <w:spacing w:after="0"/>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patient referral practices of physicians;</w:t>
      </w:r>
    </w:p>
    <w:p>
      <w:pPr>
        <w:ind w:left="720" w:hanging="360"/>
        <w:spacing w:after="0"/>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the ability to monitor patients adequately during and after treatment;</w:t>
      </w:r>
    </w:p>
    <w:p>
      <w:pPr>
        <w:ind w:left="720" w:hanging="360"/>
        <w:spacing w:after="0" w:line="238" w:lineRule="auto"/>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proximity and availability of clinical trial sites for prospective patients;</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760"/>
          </w:cols>
          <w:pgMar w:left="540" w:top="1349" w:right="580" w:bottom="0" w:gutter="0" w:footer="0" w:header="0"/>
          <w:type w:val="continuous"/>
        </w:sectPr>
      </w:pPr>
    </w:p>
    <w:bookmarkStart w:id="31" w:name="page32"/>
    <w:bookmarkEnd w:id="31"/>
    <w:p>
      <w:pPr>
        <w:ind w:left="720" w:hanging="360"/>
        <w:spacing w:after="0"/>
        <w:tabs>
          <w:tab w:leader="none" w:pos="72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engage with patient communities and advocacy groups;</w:t>
      </w:r>
    </w:p>
    <w:p>
      <w:pPr>
        <w:spacing w:after="0" w:line="21" w:lineRule="exact"/>
        <w:rPr>
          <w:rFonts w:ascii="Symbol" w:cs="Symbol" w:eastAsia="Symbol" w:hAnsi="Symbol"/>
          <w:sz w:val="20"/>
          <w:szCs w:val="20"/>
          <w:color w:val="auto"/>
        </w:rPr>
      </w:pPr>
    </w:p>
    <w:p>
      <w:pPr>
        <w:ind w:left="720" w:hanging="360"/>
        <w:spacing w:after="0"/>
        <w:tabs>
          <w:tab w:leader="none" w:pos="72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continued enrollment of prospective patients by clinical trial sites; and</w:t>
      </w:r>
    </w:p>
    <w:p>
      <w:pPr>
        <w:ind w:left="720" w:hanging="360"/>
        <w:spacing w:after="0"/>
        <w:tabs>
          <w:tab w:leader="none" w:pos="72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risk that patients enrolled in clinical trials will drop out of such trials before completion.</w:t>
      </w:r>
    </w:p>
    <w:p>
      <w:pPr>
        <w:spacing w:after="0" w:line="202" w:lineRule="exact"/>
        <w:rPr>
          <w:sz w:val="20"/>
          <w:szCs w:val="20"/>
          <w:color w:val="auto"/>
        </w:rPr>
      </w:pPr>
    </w:p>
    <w:p>
      <w:pPr>
        <w:ind w:right="120" w:firstLine="360"/>
        <w:spacing w:after="0" w:line="246" w:lineRule="auto"/>
        <w:rPr>
          <w:sz w:val="20"/>
          <w:szCs w:val="20"/>
          <w:color w:val="auto"/>
        </w:rPr>
      </w:pPr>
      <w:r>
        <w:rPr>
          <w:rFonts w:ascii="Times New Roman" w:cs="Times New Roman" w:eastAsia="Times New Roman" w:hAnsi="Times New Roman"/>
          <w:sz w:val="20"/>
          <w:szCs w:val="20"/>
          <w:color w:val="auto"/>
        </w:rPr>
        <w:t>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 delays in our clinical trials may result in increased development costs for ABP-450 and any other product candidate and jeopardize our ability to obtain regulatory approval. Furthermore, even if we are able to enroll a sufficient number of patients for our clinical trials, we may have difficulty maintaining enrollment of such patients in our clinical trials.</w:t>
      </w:r>
    </w:p>
    <w:p>
      <w:pPr>
        <w:spacing w:after="0" w:line="201" w:lineRule="exact"/>
        <w:rPr>
          <w:sz w:val="20"/>
          <w:szCs w:val="20"/>
          <w:color w:val="auto"/>
        </w:rPr>
      </w:pPr>
    </w:p>
    <w:p>
      <w:pPr>
        <w:ind w:right="140" w:firstLine="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ABP-450 may cause undesirable side effects or have other properties that could delay or prevent its regulatory approval, limit its commercial potential or result in significant negative consequences following any potential regulatory approval.</w:t>
      </w:r>
    </w:p>
    <w:p>
      <w:pPr>
        <w:spacing w:after="0" w:line="167" w:lineRule="exact"/>
        <w:rPr>
          <w:sz w:val="20"/>
          <w:szCs w:val="20"/>
          <w:color w:val="auto"/>
        </w:rPr>
      </w:pPr>
    </w:p>
    <w:p>
      <w:pPr>
        <w:ind w:right="20" w:firstLine="361"/>
        <w:spacing w:after="0" w:line="246" w:lineRule="auto"/>
        <w:rPr>
          <w:sz w:val="20"/>
          <w:szCs w:val="20"/>
          <w:color w:val="auto"/>
        </w:rPr>
      </w:pPr>
      <w:r>
        <w:rPr>
          <w:rFonts w:ascii="Times New Roman" w:cs="Times New Roman" w:eastAsia="Times New Roman" w:hAnsi="Times New Roman"/>
          <w:sz w:val="20"/>
          <w:szCs w:val="20"/>
          <w:color w:val="auto"/>
        </w:rPr>
        <w:t>During the conduct of clinical studies, patients report changes in their health, including illnesses, injuries and discomforts, to their doctor. Often, it is not possible to determine whether or not the product candidate being studied caused or contributed to these conditions and regulatory authorities may draw different conclusions from us and require additional testing to confirm these determinations, if they occur. Any adverse events or undesirable side effects caused by, or other unexpected properties of, ABP-450 could cause us, any future collaborators, IRB, or ethics committee or regulatory authorities to interrupt, delay or halt clinical studies of ABP-450 and could result in a more restrictive label or the delay or denial of regulatory approval by the FDA or other regulatory authorities.</w:t>
      </w:r>
    </w:p>
    <w:p>
      <w:pPr>
        <w:spacing w:after="0" w:line="201" w:lineRule="exact"/>
        <w:rPr>
          <w:sz w:val="20"/>
          <w:szCs w:val="20"/>
          <w:color w:val="auto"/>
        </w:rPr>
      </w:pPr>
    </w:p>
    <w:p>
      <w:pPr>
        <w:ind w:right="60" w:firstLine="361"/>
        <w:spacing w:after="0" w:line="243" w:lineRule="auto"/>
        <w:rPr>
          <w:sz w:val="20"/>
          <w:szCs w:val="20"/>
          <w:color w:val="auto"/>
        </w:rPr>
      </w:pPr>
      <w:r>
        <w:rPr>
          <w:rFonts w:ascii="Times New Roman" w:cs="Times New Roman" w:eastAsia="Times New Roman" w:hAnsi="Times New Roman"/>
          <w:sz w:val="20"/>
          <w:szCs w:val="20"/>
          <w:color w:val="auto"/>
        </w:rPr>
        <w:t>In addition, it is possible that as we test ABP-450 in further clinical studies, or as use of ABP-450 becomes more widespread if it receives regulatory approval, that illnesses, injuries, discomforts and other adverse events that were not observed in earlier studies conducted by us, or, in the case of ABP-450, by others using the same botulinum toxin, as well as conditions that did not occur or went undetected in previous studies, will be reported by subjects or patients. Many times, side effects are only detectable after investigational products are tested in large-scale pivotal studies or, in some cases, after they are made available to patients on a commercial scale after approval. If additional clinical experience indicates that ABP-450 has side effects or causes serious or life-threatening side effects, the development of ABP-450 may fail or be delayed. Additionally, there is the risk that as botulinum toxins other than ABP-450 are approved for and studied in connection with a broader range of diseases and conditions and across a more diverse population, additional safety signals and other adverse events may be identified. All botulinum toxin products are required to include a class labeling that contains a boxed warning related to safety and we could be required to include additional warnings on our product labeling, if approved.</w:t>
      </w:r>
    </w:p>
    <w:p>
      <w:pPr>
        <w:spacing w:after="0" w:line="209" w:lineRule="exact"/>
        <w:rPr>
          <w:sz w:val="20"/>
          <w:szCs w:val="20"/>
          <w:color w:val="auto"/>
        </w:rPr>
      </w:pPr>
    </w:p>
    <w:p>
      <w:pPr>
        <w:ind w:right="100" w:firstLine="361"/>
        <w:spacing w:after="0" w:line="245" w:lineRule="auto"/>
        <w:rPr>
          <w:sz w:val="20"/>
          <w:szCs w:val="20"/>
          <w:color w:val="auto"/>
        </w:rPr>
      </w:pPr>
      <w:r>
        <w:rPr>
          <w:rFonts w:ascii="Times New Roman" w:cs="Times New Roman" w:eastAsia="Times New Roman" w:hAnsi="Times New Roman"/>
          <w:sz w:val="20"/>
          <w:szCs w:val="20"/>
          <w:color w:val="auto"/>
        </w:rPr>
        <w:t>Additionally, if ABP-450 or any other product candidate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engage in similar actions, such as patient education, certification of health care professionals or specific monitoring, if we or others later identify undesirable side effects caused by any product that we develop. Other potentially significant negative consequences associated with adverse events include:</w:t>
      </w:r>
    </w:p>
    <w:p>
      <w:pPr>
        <w:spacing w:after="0" w:line="215" w:lineRule="exact"/>
        <w:rPr>
          <w:sz w:val="20"/>
          <w:szCs w:val="20"/>
          <w:color w:val="auto"/>
        </w:rPr>
      </w:pPr>
    </w:p>
    <w:p>
      <w:pPr>
        <w:ind w:left="720" w:hanging="360"/>
        <w:spacing w:after="0"/>
        <w:tabs>
          <w:tab w:leader="none" w:pos="72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be required to suspend marketing of a product, or we may decide to remove such product from the marketplace;</w:t>
      </w:r>
    </w:p>
    <w:p>
      <w:pPr>
        <w:spacing w:after="0" w:line="21" w:lineRule="exact"/>
        <w:rPr>
          <w:rFonts w:ascii="Symbol" w:cs="Symbol" w:eastAsia="Symbol" w:hAnsi="Symbol"/>
          <w:sz w:val="20"/>
          <w:szCs w:val="20"/>
          <w:color w:val="auto"/>
        </w:rPr>
      </w:pPr>
    </w:p>
    <w:p>
      <w:pPr>
        <w:ind w:left="720" w:hanging="360"/>
        <w:spacing w:after="0" w:line="238" w:lineRule="auto"/>
        <w:tabs>
          <w:tab w:leader="none" w:pos="72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authorities may withdraw or change their approvals of a product;</w:t>
      </w:r>
    </w:p>
    <w:p>
      <w:pPr>
        <w:ind w:left="720" w:hanging="360"/>
        <w:spacing w:after="0" w:line="239" w:lineRule="auto"/>
        <w:tabs>
          <w:tab w:leader="none" w:pos="72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w:t>
      </w:r>
    </w:p>
    <w:p>
      <w:pPr>
        <w:spacing w:after="0" w:line="2" w:lineRule="exact"/>
        <w:rPr>
          <w:rFonts w:ascii="Symbol" w:cs="Symbol" w:eastAsia="Symbol" w:hAnsi="Symbol"/>
          <w:sz w:val="20"/>
          <w:szCs w:val="20"/>
          <w:color w:val="auto"/>
        </w:rPr>
      </w:pPr>
    </w:p>
    <w:p>
      <w:pPr>
        <w:ind w:left="720" w:right="320" w:hanging="360"/>
        <w:spacing w:after="0"/>
        <w:tabs>
          <w:tab w:leader="none" w:pos="72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be required to create a medication guide outlining the risks of a product for patients, or to conduct post-marketing studies;</w:t>
      </w:r>
    </w:p>
    <w:p>
      <w:pPr>
        <w:ind w:left="720" w:hanging="360"/>
        <w:spacing w:after="0" w:line="238" w:lineRule="auto"/>
        <w:tabs>
          <w:tab w:leader="none" w:pos="72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be required to change the way a product is administered;</w:t>
      </w:r>
    </w:p>
    <w:p>
      <w:pPr>
        <w:ind w:left="720" w:right="180" w:hanging="360"/>
        <w:spacing w:after="0"/>
        <w:tabs>
          <w:tab w:leader="none" w:pos="72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we could be subject to fines, injunctions, or the imposition of criminal or civil penalties, or be sued and held liable for harm caused to subjects or patients; and</w:t>
      </w:r>
    </w:p>
    <w:p>
      <w:pPr>
        <w:ind w:left="720" w:hanging="360"/>
        <w:spacing w:after="0"/>
        <w:tabs>
          <w:tab w:leader="none" w:pos="72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a product may become less competitive, and our reputation may suffer.</w:t>
      </w:r>
    </w:p>
    <w:p>
      <w:pPr>
        <w:sectPr>
          <w:pgSz w:w="11880" w:h="15480" w:orient="portrait"/>
          <w:cols w:equalWidth="0" w:num="1">
            <w:col w:w="10800"/>
          </w:cols>
          <w:pgMar w:left="540" w:top="1364" w:right="54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800"/>
          </w:cols>
          <w:pgMar w:left="540" w:top="1364" w:right="540" w:bottom="0" w:gutter="0" w:footer="0" w:header="0"/>
          <w:type w:val="continuous"/>
        </w:sectPr>
      </w:pPr>
    </w:p>
    <w:bookmarkStart w:id="32" w:name="page33"/>
    <w:bookmarkEnd w:id="32"/>
    <w:p>
      <w:pPr>
        <w:ind w:right="100" w:firstLine="360"/>
        <w:spacing w:after="0" w:line="278" w:lineRule="auto"/>
        <w:rPr>
          <w:sz w:val="20"/>
          <w:szCs w:val="20"/>
          <w:color w:val="auto"/>
        </w:rPr>
      </w:pPr>
      <w:r>
        <w:rPr>
          <w:rFonts w:ascii="Times New Roman" w:cs="Times New Roman" w:eastAsia="Times New Roman" w:hAnsi="Times New Roman"/>
          <w:sz w:val="20"/>
          <w:szCs w:val="20"/>
          <w:color w:val="auto"/>
        </w:rPr>
        <w:t>Any of these events could diminish the usage or otherwise limit the commercial success of our product candidates and prevent us from achieving or maintaining market acceptance of ABP-450, if approved by the FDA or other regulatory authorities.</w:t>
      </w:r>
    </w:p>
    <w:p>
      <w:pPr>
        <w:spacing w:after="0" w:line="168"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announced a strategic pivot to pursue regulatory approval for ABP-450 utilizing a 351(k) biosimilar pathway. Obtaining regulatory approvals under this novel approach may prove difficult, or even impossible, for a variety of reasons.</w:t>
      </w:r>
    </w:p>
    <w:p>
      <w:pPr>
        <w:spacing w:after="0" w:line="167" w:lineRule="exact"/>
        <w:rPr>
          <w:sz w:val="20"/>
          <w:szCs w:val="20"/>
          <w:color w:val="auto"/>
        </w:rPr>
      </w:pPr>
    </w:p>
    <w:p>
      <w:pPr>
        <w:ind w:right="60" w:firstLine="361"/>
        <w:spacing w:after="0" w:line="246" w:lineRule="auto"/>
        <w:rPr>
          <w:sz w:val="20"/>
          <w:szCs w:val="20"/>
          <w:color w:val="auto"/>
        </w:rPr>
      </w:pPr>
      <w:r>
        <w:rPr>
          <w:rFonts w:ascii="Times New Roman" w:cs="Times New Roman" w:eastAsia="Times New Roman" w:hAnsi="Times New Roman"/>
          <w:sz w:val="20"/>
          <w:szCs w:val="20"/>
          <w:color w:val="auto"/>
        </w:rPr>
        <w:t>On July 9, 2024, we announced a strategic reprioritization to pursue submission of a Section 351(k) BLA for ABP-450, using AbbVie Inc.’s product Botox® as a proposed reference product, for which we would seek approval for all of the indications for which Botox® is approved, other than the cosmetic uses. To obtain regulatory approval for the commercial sale of ABP-450 as biosimilar product, we will be required to demonstrate to the satisfaction of the FDA, among other things, that ABP-450 is highly similar to a biological reference product already licensed by the FDA pursuant to an approved BLA, notwithstanding minor differences in clinically inactive components, and that it has no clinically meaningful differences as compared to the reference product in terms of the safety, purity and potency of the product.</w:t>
      </w:r>
    </w:p>
    <w:p>
      <w:pPr>
        <w:spacing w:after="0" w:line="199"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9"/>
          <w:szCs w:val="19"/>
          <w:color w:val="auto"/>
        </w:rPr>
        <w:t>The potential to leverage the biosimilar pathway for a neurotoxin is untested, as no biosimilar has been approved utilizing Botox® as the reference product. Among other things, Section 351(k) BLAs must include an assessment of toxicity and a clinical study or studies sufficient to demonstrate safety, purity, and potency in one or more appropriate conditions of use for which the reference product is licensed and for which licensure is sought for the proposed biological product. The amount of toxin in a single vial of Botox® is miniscule and comparing toxicity vial-to-vial, which could be required by the FDA, may prove prohibitively difficult.</w:t>
      </w:r>
    </w:p>
    <w:p>
      <w:pPr>
        <w:spacing w:after="0" w:line="180" w:lineRule="exact"/>
        <w:rPr>
          <w:sz w:val="20"/>
          <w:szCs w:val="20"/>
          <w:color w:val="auto"/>
        </w:rPr>
      </w:pPr>
    </w:p>
    <w:p>
      <w:pPr>
        <w:ind w:right="20" w:firstLine="361"/>
        <w:spacing w:after="0" w:line="242" w:lineRule="auto"/>
        <w:rPr>
          <w:sz w:val="20"/>
          <w:szCs w:val="20"/>
          <w:color w:val="auto"/>
        </w:rPr>
      </w:pPr>
      <w:r>
        <w:rPr>
          <w:rFonts w:ascii="Times New Roman" w:cs="Times New Roman" w:eastAsia="Times New Roman" w:hAnsi="Times New Roman"/>
          <w:sz w:val="20"/>
          <w:szCs w:val="20"/>
          <w:color w:val="auto"/>
        </w:rPr>
        <w:t>We plan to pursue the biosimilar pathway for ABP-450 because this pathway offers the potential to obtain FDA approvals for all FDA-approved indications for the reference product. If we are successful in demonstrating the biosimilarity of ABP-450 to Botox® and obtain regulatory approval with respect to one indication, we believe the FDA could also approve ABP-450 for one or more indications currently listed on Botox®’s FDA-approved labeling without our having to conduct additional clinical trials for ABP-450, provided that the FDA determines that ABP-450 relies on a similar mechanism of action to Botox® with respect to each such indication. However, even if we are able to demonstrate that ABP-450 is biosimilar to Botox® with respect to one indication, the FDA may nevertheless determine that certain of Botox® existing approved indications do not rely on a clearly established similar mechanism of action, which would limit our ability to seek approvals for ABP-450 without conducting additional trials. For example, pending FDA feedback, we plan to conduct a single pivotal clinical study in patients with cervical dystonia. And the FDA could determine that a clinical study in cervical dystonia, a muscular disorder, even if successful, will not support a Section 350(k) BLA seeking approval for ABP-450 as a biosimilar in patients with migraine, a neurological disorder, or any of the other therapeutic (non-cosmetic) indications for which Botox® is currently approved. Moreover, negative or ambiguous results from clinical trials of ABP-450 in certain patient populations, including the results from our Phase 2 trials, could adversely affect our ability to pursue certain indications in any Section 351(k) BLA. In addition, pursuant to our agreement with Daewoong, we do not have the rights to develop and commercialize ABP-450 for any of the cosmetic indications for which Botox® has been approved, which further limits the market potential for ABP-450, even if we are successful in pursuing a biosimilar pathway.</w:t>
      </w:r>
    </w:p>
    <w:p>
      <w:pPr>
        <w:spacing w:after="0" w:line="210" w:lineRule="exact"/>
        <w:rPr>
          <w:sz w:val="20"/>
          <w:szCs w:val="20"/>
          <w:color w:val="auto"/>
        </w:rPr>
      </w:pPr>
    </w:p>
    <w:p>
      <w:pPr>
        <w:ind w:right="260" w:firstLine="360"/>
        <w:spacing w:after="0" w:line="252" w:lineRule="auto"/>
        <w:rPr>
          <w:sz w:val="20"/>
          <w:szCs w:val="20"/>
          <w:color w:val="auto"/>
        </w:rPr>
      </w:pPr>
      <w:r>
        <w:rPr>
          <w:rFonts w:ascii="Times New Roman" w:cs="Times New Roman" w:eastAsia="Times New Roman" w:hAnsi="Times New Roman"/>
          <w:sz w:val="20"/>
          <w:szCs w:val="20"/>
          <w:color w:val="auto"/>
        </w:rPr>
        <w:t>Additionally, even if the FDA allows us to pursue a biosimilar pathway for ABP-450, and even if we are successful in demonstrating biosimilarity for ABP-450 to the satisfaction of the FDA, many manufacturers of reference biological products have used legislative, regulatory and other means, such as litigation, to delay regulatory approval and to seek to restrict competition from manufacturers of biosimilars. These efforts may include or have included:</w:t>
      </w:r>
    </w:p>
    <w:p>
      <w:pPr>
        <w:spacing w:after="0" w:line="209" w:lineRule="exact"/>
        <w:rPr>
          <w:sz w:val="20"/>
          <w:szCs w:val="20"/>
          <w:color w:val="auto"/>
        </w:rPr>
      </w:pPr>
    </w:p>
    <w:p>
      <w:pPr>
        <w:ind w:left="720" w:right="260" w:hanging="361"/>
        <w:spacing w:after="0" w:line="250" w:lineRule="auto"/>
        <w:tabs>
          <w:tab w:leader="none" w:pos="72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settling, or refusing to settle, patent lawsuits with biosimilar companies, resulting in such patents remaining an obstacle for biosimilar approval;</w:t>
      </w:r>
    </w:p>
    <w:p>
      <w:pPr>
        <w:spacing w:after="0" w:line="1" w:lineRule="exact"/>
        <w:rPr>
          <w:rFonts w:ascii="Symbol" w:cs="Symbol" w:eastAsia="Symbol" w:hAnsi="Symbol"/>
          <w:sz w:val="20"/>
          <w:szCs w:val="20"/>
          <w:color w:val="auto"/>
        </w:rPr>
      </w:pPr>
    </w:p>
    <w:p>
      <w:pPr>
        <w:ind w:left="720" w:right="620" w:hanging="361"/>
        <w:spacing w:after="0"/>
        <w:tabs>
          <w:tab w:leader="none" w:pos="72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submitting citizen petitions to request the FDA to take administrative action with respect to prospective and submitted biosimilar applications;</w:t>
      </w:r>
    </w:p>
    <w:p>
      <w:pPr>
        <w:ind w:left="720" w:right="160" w:hanging="360"/>
        <w:spacing w:after="0" w:line="238" w:lineRule="auto"/>
        <w:tabs>
          <w:tab w:leader="none" w:pos="72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appealing denials of citizen petitions in United States federal district courts and seeking injunctive relief to reverse approval of biosimilar applications;</w:t>
      </w:r>
    </w:p>
    <w:p>
      <w:pPr>
        <w:spacing w:after="0" w:line="1" w:lineRule="exact"/>
        <w:rPr>
          <w:rFonts w:ascii="Symbol" w:cs="Symbol" w:eastAsia="Symbol" w:hAnsi="Symbol"/>
          <w:sz w:val="20"/>
          <w:szCs w:val="20"/>
          <w:color w:val="auto"/>
        </w:rPr>
      </w:pPr>
    </w:p>
    <w:p>
      <w:pPr>
        <w:ind w:left="720" w:right="200" w:hanging="360"/>
        <w:spacing w:after="0" w:line="239" w:lineRule="auto"/>
        <w:tabs>
          <w:tab w:leader="none" w:pos="72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restricting access to reference brand products for equivalence and biosimilarity testing that interferes with timely biosimilar development plans;</w:t>
      </w:r>
    </w:p>
    <w:p>
      <w:pPr>
        <w:spacing w:after="0" w:line="1" w:lineRule="exact"/>
        <w:rPr>
          <w:rFonts w:ascii="Symbol" w:cs="Symbol" w:eastAsia="Symbol" w:hAnsi="Symbol"/>
          <w:sz w:val="20"/>
          <w:szCs w:val="20"/>
          <w:color w:val="auto"/>
        </w:rPr>
      </w:pPr>
    </w:p>
    <w:p>
      <w:pPr>
        <w:jc w:val="both"/>
        <w:ind w:left="720" w:right="540" w:hanging="360"/>
        <w:spacing w:after="0" w:line="239" w:lineRule="auto"/>
        <w:tabs>
          <w:tab w:leader="none" w:pos="72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attempting to influence potential market share by conducting medical education with physicians, payers, regulators and patients claiming that biosimilar products are too complex for biosimilar approval or are too dissimilar from originator products to be trusted as safe and effective alternatives;</w:t>
      </w:r>
    </w:p>
    <w:p>
      <w:pPr>
        <w:spacing w:after="0" w:line="2" w:lineRule="exact"/>
        <w:rPr>
          <w:rFonts w:ascii="Symbol" w:cs="Symbol" w:eastAsia="Symbol" w:hAnsi="Symbol"/>
          <w:sz w:val="20"/>
          <w:szCs w:val="20"/>
          <w:color w:val="auto"/>
        </w:rPr>
      </w:pPr>
    </w:p>
    <w:p>
      <w:pPr>
        <w:ind w:left="720" w:hanging="360"/>
        <w:spacing w:after="0"/>
        <w:tabs>
          <w:tab w:leader="none" w:pos="72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implementing payer market access tactics that benefit their brands at the expense of biosimilars;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800"/>
          </w:cols>
          <w:pgMar w:left="540" w:top="1349" w:right="540" w:bottom="0" w:gutter="0" w:footer="0" w:header="0"/>
          <w:type w:val="continuous"/>
        </w:sectPr>
      </w:pPr>
    </w:p>
    <w:bookmarkStart w:id="33" w:name="page34"/>
    <w:bookmarkEnd w:id="33"/>
    <w:p>
      <w:pPr>
        <w:ind w:left="720" w:right="780" w:hanging="360"/>
        <w:spacing w:after="0" w:line="247" w:lineRule="auto"/>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seeking state law restrictions on the substitution of biosimilar products at the pharmacy without the intervention of a physician or through other restrictive means such as excessive recordkeeping requirements or patient and physician notification;</w:t>
      </w:r>
    </w:p>
    <w:p>
      <w:pPr>
        <w:spacing w:after="0" w:line="1" w:lineRule="exact"/>
        <w:rPr>
          <w:rFonts w:ascii="Symbol" w:cs="Symbol" w:eastAsia="Symbol" w:hAnsi="Symbol"/>
          <w:sz w:val="20"/>
          <w:szCs w:val="20"/>
          <w:color w:val="auto"/>
        </w:rPr>
      </w:pPr>
    </w:p>
    <w:p>
      <w:pPr>
        <w:ind w:left="720" w:right="40" w:hanging="360"/>
        <w:spacing w:after="0" w:line="239" w:lineRule="auto"/>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seeking federal or state regulatory restrictions on the use of the same non-proprietary name as the reference brand product for a biosimilar or interchangeable biologic;</w:t>
      </w:r>
    </w:p>
    <w:p>
      <w:pPr>
        <w:spacing w:after="0" w:line="1" w:lineRule="exact"/>
        <w:rPr>
          <w:rFonts w:ascii="Symbol" w:cs="Symbol" w:eastAsia="Symbol" w:hAnsi="Symbol"/>
          <w:sz w:val="20"/>
          <w:szCs w:val="20"/>
          <w:color w:val="auto"/>
        </w:rPr>
      </w:pPr>
    </w:p>
    <w:p>
      <w:pPr>
        <w:ind w:left="720" w:hanging="360"/>
        <w:spacing w:after="0" w:line="238" w:lineRule="auto"/>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seeking changes to the United States Pharmacopeia, an industry recognized compilation of drug and biologic standards;</w:t>
      </w:r>
    </w:p>
    <w:p>
      <w:pPr>
        <w:ind w:left="720" w:right="220" w:hanging="360"/>
        <w:spacing w:after="0"/>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obtaining new patents covering existing products or processes, which could extend patent exclusivity for a number of years or otherwise delay the launch of biosimilars; and</w:t>
      </w:r>
    </w:p>
    <w:p>
      <w:pPr>
        <w:ind w:left="720" w:hanging="360"/>
        <w:spacing w:after="0"/>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influencing legislatures so that they attach special patent extension amendments to unrelated federal legislation.</w:t>
      </w:r>
    </w:p>
    <w:p>
      <w:pPr>
        <w:spacing w:after="0" w:line="202"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In addition, any of these factors could prevent us from obtaining market acceptance for or otherwise successfully commercializing ABP-450, if approved as a biosimilar product.</w:t>
      </w:r>
    </w:p>
    <w:p>
      <w:pPr>
        <w:spacing w:after="0" w:line="157"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Even if ABP-450 receives regulatory approval as a biosimilar or otherwise, it may fail to achieve the broad degree of market acceptance by physicians, patients, third-party payors and others in the medical community necessary for commercial success.</w:t>
      </w:r>
    </w:p>
    <w:p>
      <w:pPr>
        <w:spacing w:after="0" w:line="167" w:lineRule="exact"/>
        <w:rPr>
          <w:sz w:val="20"/>
          <w:szCs w:val="20"/>
          <w:color w:val="auto"/>
        </w:rPr>
      </w:pPr>
    </w:p>
    <w:p>
      <w:pPr>
        <w:ind w:right="320" w:firstLine="360"/>
        <w:spacing w:after="0" w:line="253" w:lineRule="auto"/>
        <w:rPr>
          <w:sz w:val="20"/>
          <w:szCs w:val="20"/>
          <w:color w:val="auto"/>
        </w:rPr>
      </w:pPr>
      <w:r>
        <w:rPr>
          <w:rFonts w:ascii="Times New Roman" w:cs="Times New Roman" w:eastAsia="Times New Roman" w:hAnsi="Times New Roman"/>
          <w:sz w:val="20"/>
          <w:szCs w:val="20"/>
          <w:color w:val="auto"/>
        </w:rPr>
        <w:t>Even if ABP-450 receives regulatory approval, it may nonetheless fail to gain sufficient market acceptance by physicians, patients, third-party payors and others in the medical community. The commercial success of ABP-450, if approved, will depend significantly on the broad adoption and use of the resulting product by physicians. The degree of market acceptance of any product candidate, if approved for commercial sale, will depend on a number of factors, including but not limited to:</w:t>
      </w:r>
    </w:p>
    <w:p>
      <w:pPr>
        <w:spacing w:after="0" w:line="205" w:lineRule="exact"/>
        <w:rPr>
          <w:sz w:val="20"/>
          <w:szCs w:val="20"/>
          <w:color w:val="auto"/>
        </w:rPr>
      </w:pPr>
    </w:p>
    <w:p>
      <w:pPr>
        <w:ind w:left="720" w:hanging="360"/>
        <w:spacing w:after="0"/>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convenience and ease of administration compared to alternative treatments and therapies;</w:t>
      </w:r>
    </w:p>
    <w:p>
      <w:pPr>
        <w:spacing w:after="0" w:line="21" w:lineRule="exact"/>
        <w:rPr>
          <w:rFonts w:ascii="Symbol" w:cs="Symbol" w:eastAsia="Symbol" w:hAnsi="Symbol"/>
          <w:sz w:val="20"/>
          <w:szCs w:val="20"/>
          <w:color w:val="auto"/>
        </w:rPr>
      </w:pPr>
    </w:p>
    <w:p>
      <w:pPr>
        <w:ind w:left="720" w:hanging="360"/>
        <w:spacing w:after="0" w:line="238"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willingness of the target patient population to try new therapies and of physicians to prescribe a biosimilar product;</w:t>
      </w:r>
    </w:p>
    <w:p>
      <w:pPr>
        <w:ind w:left="720" w:hanging="360"/>
        <w:spacing w:after="0"/>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efficacy and potential advantages compared to alternative treatments and therapies;</w:t>
      </w:r>
    </w:p>
    <w:p>
      <w:pPr>
        <w:ind w:left="720" w:right="360" w:hanging="360"/>
        <w:spacing w:after="0" w:line="239"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availability of third-party coverage and adequate reimbursement, and patients’ willingness to pay out-of-pocket in the absence of third-party coverage or adequate reimbursement;</w:t>
      </w:r>
    </w:p>
    <w:p>
      <w:pPr>
        <w:spacing w:after="0" w:line="1" w:lineRule="exact"/>
        <w:rPr>
          <w:rFonts w:ascii="Symbol" w:cs="Symbol" w:eastAsia="Symbol" w:hAnsi="Symbol"/>
          <w:sz w:val="20"/>
          <w:szCs w:val="20"/>
          <w:color w:val="auto"/>
        </w:rPr>
      </w:pPr>
    </w:p>
    <w:p>
      <w:pPr>
        <w:ind w:left="720" w:hanging="360"/>
        <w:spacing w:after="0"/>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effectiveness of sales and marketing efforts;</w:t>
      </w:r>
    </w:p>
    <w:p>
      <w:pPr>
        <w:ind w:left="720" w:hanging="360"/>
        <w:spacing w:after="0"/>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strength of our relationships with patient communities;</w:t>
      </w:r>
    </w:p>
    <w:p>
      <w:pPr>
        <w:ind w:left="720" w:hanging="360"/>
        <w:spacing w:after="0" w:line="238"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timing of market introduction of our product candidate in relation to other potentially competitive products;</w:t>
      </w:r>
    </w:p>
    <w:p>
      <w:pPr>
        <w:ind w:left="720" w:hanging="360"/>
        <w:spacing w:after="0"/>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 of treatment in relation to alternative treatments and therapies;</w:t>
      </w:r>
    </w:p>
    <w:p>
      <w:pPr>
        <w:ind w:left="720" w:hanging="360"/>
        <w:spacing w:after="0" w:line="238"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amount of upfront costs or training required for physicians to administer our product candidate;</w:t>
      </w:r>
    </w:p>
    <w:p>
      <w:pPr>
        <w:ind w:left="720" w:hanging="360"/>
        <w:spacing w:after="0"/>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offer such product for sale at competitive prices;</w:t>
      </w:r>
    </w:p>
    <w:p>
      <w:pPr>
        <w:ind w:left="720" w:hanging="360"/>
        <w:spacing w:after="0"/>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strength of marketing and distribution support;</w:t>
      </w:r>
    </w:p>
    <w:p>
      <w:pPr>
        <w:ind w:left="720" w:hanging="360"/>
        <w:spacing w:after="0" w:line="238"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presence or perceived risk of potential product liability claims;</w:t>
      </w:r>
    </w:p>
    <w:p>
      <w:pPr>
        <w:ind w:left="720" w:hanging="360"/>
        <w:spacing w:after="0"/>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prevalence and severity of any side effects; and</w:t>
      </w:r>
    </w:p>
    <w:p>
      <w:pPr>
        <w:ind w:left="720" w:hanging="360"/>
        <w:spacing w:after="0" w:line="238" w:lineRule="auto"/>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any restrictions on the use of the product together with other medications.</w:t>
      </w:r>
    </w:p>
    <w:p>
      <w:pPr>
        <w:spacing w:after="0" w:line="203" w:lineRule="exact"/>
        <w:rPr>
          <w:sz w:val="20"/>
          <w:szCs w:val="20"/>
          <w:color w:val="auto"/>
        </w:rPr>
      </w:pPr>
    </w:p>
    <w:p>
      <w:pPr>
        <w:ind w:right="100" w:firstLine="360"/>
        <w:spacing w:after="0" w:line="278" w:lineRule="auto"/>
        <w:rPr>
          <w:sz w:val="20"/>
          <w:szCs w:val="20"/>
          <w:color w:val="auto"/>
        </w:rPr>
      </w:pPr>
      <w:r>
        <w:rPr>
          <w:rFonts w:ascii="Times New Roman" w:cs="Times New Roman" w:eastAsia="Times New Roman" w:hAnsi="Times New Roman"/>
          <w:sz w:val="20"/>
          <w:szCs w:val="20"/>
          <w:color w:val="auto"/>
        </w:rPr>
        <w:t>Our efforts to educate physicians, patients, third party payors and others in the medical community on the benefits of our product candidates, if approved, may require significant resources and may never be successful.</w:t>
      </w:r>
    </w:p>
    <w:p>
      <w:pPr>
        <w:spacing w:after="0" w:line="167"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20"/>
          <w:szCs w:val="20"/>
          <w:color w:val="auto"/>
        </w:rPr>
        <w:t>If ABP-450 fails to gain market acceptance, this will have a material adverse impact on our ability to generate revenues to provide a satisfactory, or any, return on our investments. Even if some therapeutic indications achieve market acceptance, the market may prove not to be large enough to allow us to generate significant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Due to our limited resources and access to capital, we must prioritize the regulatory approval for ABP-450 utilizing a</w:t>
      </w:r>
    </w:p>
    <w:p>
      <w:pPr>
        <w:spacing w:after="0" w:line="28"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351(k) biosimilar pathway and evaluate the development of certain therapeutic uses of ABP-450; these decisions may prove to be wrong and may adversely affect our business.</w:t>
      </w:r>
    </w:p>
    <w:p>
      <w:pPr>
        <w:spacing w:after="0" w:line="194"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While we have shifted our focus to the development and potential commercialization of ABP-450 as a biosimilar to Botox®, a key element of our future strategy is to identify additional conditions for which ABP-450 may warrant further development. However, there can be no assurances that we will be successful in identifying such conditions, such as gastroparesis and PTSD. Even if we are successful in identifying conditions that could potentially be treated with ABP-450, we may experience difficulties in identifying a proper treatment regimen, or we may fail to successfully develop ABP-450 or secure regulatory approval for such conditions.</w:t>
      </w:r>
    </w:p>
    <w:p>
      <w:pPr>
        <w:sectPr>
          <w:pgSz w:w="11880" w:h="15480" w:orient="portrait"/>
          <w:cols w:equalWidth="0" w:num="1">
            <w:col w:w="10800"/>
          </w:cols>
          <w:pgMar w:left="540" w:top="13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800"/>
          </w:cols>
          <w:pgMar w:left="540" w:top="1364" w:right="540" w:bottom="0" w:gutter="0" w:footer="0" w:header="0"/>
          <w:type w:val="continuous"/>
        </w:sectPr>
      </w:pPr>
    </w:p>
    <w:bookmarkStart w:id="34" w:name="page35"/>
    <w:bookmarkEnd w:id="34"/>
    <w:p>
      <w:pPr>
        <w:ind w:right="100" w:firstLine="361"/>
        <w:spacing w:after="0" w:line="253" w:lineRule="auto"/>
        <w:rPr>
          <w:sz w:val="20"/>
          <w:szCs w:val="20"/>
          <w:color w:val="auto"/>
        </w:rPr>
      </w:pPr>
      <w:r>
        <w:rPr>
          <w:rFonts w:ascii="Times New Roman" w:cs="Times New Roman" w:eastAsia="Times New Roman" w:hAnsi="Times New Roman"/>
          <w:sz w:val="20"/>
          <w:szCs w:val="20"/>
          <w:color w:val="auto"/>
        </w:rPr>
        <w:t>Efforts to identify and pursue additional potential therapeutic uses of ABP-450 require substantial technical, financial and human resources, regardless of whether they are ultimately successful. Because we have limited financial and personnel resources, we may forgo or delay pursuit of opportunities with potential target indications that later prove to have greater commercial potential or a greater likelihood of success.</w:t>
      </w:r>
    </w:p>
    <w:p>
      <w:pPr>
        <w:spacing w:after="0" w:line="191" w:lineRule="exact"/>
        <w:rPr>
          <w:sz w:val="20"/>
          <w:szCs w:val="20"/>
          <w:color w:val="auto"/>
        </w:rPr>
      </w:pPr>
    </w:p>
    <w:p>
      <w:pPr>
        <w:jc w:val="both"/>
        <w:ind w:right="940" w:firstLine="360"/>
        <w:spacing w:after="0" w:line="259" w:lineRule="auto"/>
        <w:rPr>
          <w:sz w:val="20"/>
          <w:szCs w:val="20"/>
          <w:color w:val="auto"/>
        </w:rPr>
      </w:pPr>
      <w:r>
        <w:rPr>
          <w:rFonts w:ascii="Times New Roman" w:cs="Times New Roman" w:eastAsia="Times New Roman" w:hAnsi="Times New Roman"/>
          <w:sz w:val="20"/>
          <w:szCs w:val="20"/>
          <w:color w:val="auto"/>
        </w:rPr>
        <w:t>Our resource allocation decisions may cause us to fail to capitalize on viable commercial products or profitable market opportunities. We may focus our efforts and resources on potential therapeutic uses of ABP-450 that ultimately prove to be unsuccessful.</w:t>
      </w:r>
    </w:p>
    <w:p>
      <w:pPr>
        <w:spacing w:after="0" w:line="18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for ABP-450, we will be subject to ongoing regulatory obligations and continued regulatory review, which may result in significant additional expense, limit or prohibit commercial distribution, prevent continued investigation and research and subject us to penalties if we fail to comply with applicable regulatory requirements. Additionally, ABP-450, if approved, could be subject to labeling and other restrictions and market withdrawal and we may be subject to penalties if we fail to comply with regulatory requirements or experience unanticipated problems with our products.</w:t>
      </w:r>
    </w:p>
    <w:p>
      <w:pPr>
        <w:spacing w:after="0" w:line="197"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For any regulatory approvals that we may receive for our ABP-450,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GCPs for any clinical trials. In addition, manufacturers of biological products and their facilities are subject to continual review and periodic, unannounced inspections by the FDA and other regulatory authorities for compliance with cGMPs and other applicable regulations and standards. In addition, any regulatory approvals we may receive will require the submission of periodic reports to regulatory authorities and ongoing surveillance to monitor the safety and efficacy of the product. Such approvals may also contain significant limitations related to use restrictions for specified age groups, warnings, precautions or contraindications, and may include burdensome post-approval study or risk management requirements. For example, the FDA may require a Risk Evaluation Mitigation Strategy as a condition of approval of our product candidates, which could include requirements for a medication guide, physician training and communication plans or additional elements to ensure safe use, such as restricted distribution methods, patient registries and other risk minimization tools.</w:t>
      </w:r>
    </w:p>
    <w:p>
      <w:pPr>
        <w:spacing w:after="0" w:line="20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If we or a regulatory agency discover previously unknown problems with a product, such as adverse events of unanticipated</w:t>
      </w:r>
    </w:p>
    <w:p>
      <w:pPr>
        <w:spacing w:after="0" w:line="2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216" w:lineRule="exact"/>
        <w:rPr>
          <w:sz w:val="20"/>
          <w:szCs w:val="20"/>
          <w:color w:val="auto"/>
        </w:rPr>
      </w:pPr>
    </w:p>
    <w:p>
      <w:pPr>
        <w:ind w:left="720" w:right="740" w:hanging="361"/>
        <w:spacing w:after="0" w:line="250" w:lineRule="auto"/>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the imposition of restrictions on the marketing or manufacturing of the product, suspension or withdrawal of product approvals or revocation of necessary licenses;</w:t>
      </w:r>
    </w:p>
    <w:p>
      <w:pPr>
        <w:spacing w:after="0" w:line="1" w:lineRule="exact"/>
        <w:rPr>
          <w:rFonts w:ascii="Symbol" w:cs="Symbol" w:eastAsia="Symbol" w:hAnsi="Symbol"/>
          <w:sz w:val="20"/>
          <w:szCs w:val="20"/>
          <w:color w:val="auto"/>
        </w:rPr>
      </w:pPr>
    </w:p>
    <w:p>
      <w:pPr>
        <w:ind w:left="720" w:right="260" w:hanging="361"/>
        <w:spacing w:after="0"/>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the issuance of warning letters, untitled letters, or comparable notices describing alleged violations, which may be publicly available;</w:t>
      </w:r>
    </w:p>
    <w:p>
      <w:pPr>
        <w:ind w:left="720" w:right="980" w:hanging="361"/>
        <w:spacing w:after="0" w:line="239" w:lineRule="auto"/>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mandated modifications to promotional materials or a requirement to provide corrective information to healthcare practitioners;</w:t>
      </w:r>
    </w:p>
    <w:p>
      <w:pPr>
        <w:spacing w:after="0" w:line="1" w:lineRule="exact"/>
        <w:rPr>
          <w:rFonts w:ascii="Symbol" w:cs="Symbol" w:eastAsia="Symbol" w:hAnsi="Symbol"/>
          <w:sz w:val="20"/>
          <w:szCs w:val="20"/>
          <w:color w:val="auto"/>
        </w:rPr>
      </w:pPr>
    </w:p>
    <w:p>
      <w:pPr>
        <w:ind w:left="720" w:right="1200" w:hanging="361"/>
        <w:spacing w:after="0" w:line="239" w:lineRule="auto"/>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required revisions to the labeling, including limitation on approved uses or the addition of additional warnings, contraindications or other safety information;</w:t>
      </w:r>
    </w:p>
    <w:p>
      <w:pPr>
        <w:spacing w:after="0" w:line="1" w:lineRule="exact"/>
        <w:rPr>
          <w:rFonts w:ascii="Symbol" w:cs="Symbol" w:eastAsia="Symbol" w:hAnsi="Symbol"/>
          <w:sz w:val="20"/>
          <w:szCs w:val="20"/>
          <w:color w:val="auto"/>
        </w:rPr>
      </w:pPr>
    </w:p>
    <w:p>
      <w:pPr>
        <w:ind w:left="720" w:right="300" w:hanging="361"/>
        <w:spacing w:after="0" w:line="238" w:lineRule="auto"/>
        <w:tabs>
          <w:tab w:leader="none" w:pos="719"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a requirement to enter into a consent decree, which can include imposition of various fines, reimbursements for inspection costs, required due dates for specific actions and penalties for noncompliance;</w:t>
      </w:r>
    </w:p>
    <w:p>
      <w:pPr>
        <w:spacing w:after="0" w:line="1" w:lineRule="exact"/>
        <w:rPr>
          <w:rFonts w:ascii="Symbol" w:cs="Symbol" w:eastAsia="Symbol" w:hAnsi="Symbol"/>
          <w:sz w:val="20"/>
          <w:szCs w:val="20"/>
          <w:color w:val="auto"/>
        </w:rPr>
      </w:pPr>
    </w:p>
    <w:p>
      <w:pPr>
        <w:ind w:left="720" w:hanging="360"/>
        <w:spacing w:after="0"/>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commencement of criminal investigations and prosecutions;</w:t>
      </w:r>
    </w:p>
    <w:p>
      <w:pPr>
        <w:ind w:left="720" w:hanging="360"/>
        <w:spacing w:after="0"/>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suspension of any ongoing clinical studies;</w:t>
      </w:r>
    </w:p>
    <w:p>
      <w:pPr>
        <w:ind w:left="720" w:hanging="360"/>
        <w:spacing w:after="0" w:line="238" w:lineRule="auto"/>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a delay in approving or a refusal to approve pending applications or supplements to approved applications submitted by us;</w:t>
      </w:r>
    </w:p>
    <w:p>
      <w:pPr>
        <w:ind w:left="720" w:right="180" w:hanging="360"/>
        <w:spacing w:after="0"/>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a refusal to permit products or active ingredients to be imported or exported to or from the United States or other applicable jurisdictions;</w:t>
      </w:r>
    </w:p>
    <w:p>
      <w:pPr>
        <w:ind w:left="720" w:hanging="360"/>
        <w:spacing w:after="0" w:line="238" w:lineRule="auto"/>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a suspension of operations or the imposition of restrictions on operations, including costly new manufacturing requirements;</w:t>
      </w:r>
    </w:p>
    <w:p>
      <w:pPr>
        <w:ind w:left="720" w:hanging="360"/>
        <w:spacing w:after="0"/>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a seizure or detention of products or a requirement that we initiate a product recall; and</w:t>
      </w:r>
    </w:p>
    <w:p>
      <w:pPr>
        <w:ind w:left="720" w:hanging="360"/>
        <w:spacing w:after="0"/>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800"/>
          </w:cols>
          <w:pgMar w:left="540" w:top="1349" w:right="540" w:bottom="0" w:gutter="0" w:footer="0" w:header="0"/>
          <w:type w:val="continuous"/>
        </w:sectPr>
      </w:pPr>
    </w:p>
    <w:bookmarkStart w:id="35" w:name="page36"/>
    <w:bookmarkEnd w:id="35"/>
    <w:p>
      <w:pPr>
        <w:ind w:right="400" w:firstLine="360"/>
        <w:spacing w:after="0" w:line="247" w:lineRule="auto"/>
        <w:rPr>
          <w:sz w:val="20"/>
          <w:szCs w:val="20"/>
          <w:color w:val="auto"/>
        </w:rPr>
      </w:pPr>
      <w:r>
        <w:rPr>
          <w:rFonts w:ascii="Times New Roman" w:cs="Times New Roman" w:eastAsia="Times New Roman" w:hAnsi="Times New Roman"/>
          <w:sz w:val="20"/>
          <w:szCs w:val="20"/>
          <w:color w:val="auto"/>
        </w:rPr>
        <w:t>Regulatory policies may change and additional government regulations may be enacted that could prevent, limit or delay regulatory approval of ABP-450. We cannot predict the likelihood, nature or extent of government regulation that may arise from future legislation or administrative action, either in the United States or abroad. If we are slow to or unable to adapt to changes in existing requirements or the adoption of new requirements or policies, or if we are not able to maintain regulatory compliance, we may be subject to enforcement action and we may not achieve or sustain profitability, which would adversely affect our business, prospects, financial condition and results of operations.</w:t>
      </w:r>
    </w:p>
    <w:p>
      <w:pPr>
        <w:spacing w:after="0" w:line="200" w:lineRule="exact"/>
        <w:rPr>
          <w:sz w:val="20"/>
          <w:szCs w:val="20"/>
          <w:color w:val="auto"/>
        </w:rPr>
      </w:pPr>
    </w:p>
    <w:p>
      <w:pPr>
        <w:ind w:right="40" w:firstLine="360"/>
        <w:spacing w:after="0" w:line="259" w:lineRule="auto"/>
        <w:rPr>
          <w:sz w:val="20"/>
          <w:szCs w:val="20"/>
          <w:color w:val="auto"/>
        </w:rPr>
      </w:pPr>
      <w:r>
        <w:rPr>
          <w:rFonts w:ascii="Times New Roman" w:cs="Times New Roman" w:eastAsia="Times New Roman" w:hAnsi="Times New Roman"/>
          <w:sz w:val="20"/>
          <w:szCs w:val="20"/>
          <w:color w:val="auto"/>
        </w:rPr>
        <w:t>In addition, given the similarity of ABP-450 to Jeuveau®, any adverse developments with respect to Jeuveau®, including adverse events or changes in regulatory status, may also directly impact the development, commercialization or regulation of ABP-450, if approved.</w:t>
      </w:r>
    </w:p>
    <w:p>
      <w:pPr>
        <w:spacing w:after="0" w:line="186"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coverage and adequate reimbursement may not be available for ABP-450, which could make it difficult for us to sell the product profitably.</w:t>
      </w:r>
    </w:p>
    <w:p>
      <w:pPr>
        <w:spacing w:after="0" w:line="167" w:lineRule="exact"/>
        <w:rPr>
          <w:sz w:val="20"/>
          <w:szCs w:val="20"/>
          <w:color w:val="auto"/>
        </w:rPr>
      </w:pPr>
    </w:p>
    <w:p>
      <w:pPr>
        <w:ind w:right="40" w:firstLine="360"/>
        <w:spacing w:after="0" w:line="259" w:lineRule="auto"/>
        <w:rPr>
          <w:sz w:val="20"/>
          <w:szCs w:val="20"/>
          <w:color w:val="auto"/>
        </w:rPr>
      </w:pPr>
      <w:r>
        <w:rPr>
          <w:rFonts w:ascii="Times New Roman" w:cs="Times New Roman" w:eastAsia="Times New Roman" w:hAnsi="Times New Roman"/>
          <w:sz w:val="20"/>
          <w:szCs w:val="20"/>
          <w:color w:val="auto"/>
        </w:rPr>
        <w:t>Market acceptance and sales of ABP-450, if approved, will depend in part on the extent to which reimbursement for the product and related treatments will be available from third-party payors, including government health administration authorities, managed care organizations and other private health insurers.</w:t>
      </w:r>
    </w:p>
    <w:p>
      <w:pPr>
        <w:spacing w:after="0" w:line="186" w:lineRule="exact"/>
        <w:rPr>
          <w:sz w:val="20"/>
          <w:szCs w:val="20"/>
          <w:color w:val="auto"/>
        </w:rPr>
      </w:pPr>
    </w:p>
    <w:p>
      <w:pPr>
        <w:jc w:val="both"/>
        <w:ind w:right="160" w:firstLine="360"/>
        <w:spacing w:after="0" w:line="259" w:lineRule="auto"/>
        <w:rPr>
          <w:sz w:val="20"/>
          <w:szCs w:val="20"/>
          <w:color w:val="auto"/>
        </w:rPr>
      </w:pPr>
      <w:r>
        <w:rPr>
          <w:rFonts w:ascii="Times New Roman" w:cs="Times New Roman" w:eastAsia="Times New Roman" w:hAnsi="Times New Roman"/>
          <w:sz w:val="20"/>
          <w:szCs w:val="20"/>
          <w:color w:val="auto"/>
        </w:rPr>
        <w:t>Obtaining coverage and adequate reimbursement approval for a product from a government or other third-party payor is a time-consuming and costly process that could require us to provide supporting scientific, clinical and cost-effectiveness data for the use of our products to the payor.</w:t>
      </w:r>
    </w:p>
    <w:p>
      <w:pPr>
        <w:spacing w:after="0" w:line="186" w:lineRule="exact"/>
        <w:rPr>
          <w:sz w:val="20"/>
          <w:szCs w:val="20"/>
          <w:color w:val="auto"/>
        </w:rPr>
      </w:pPr>
    </w:p>
    <w:p>
      <w:pPr>
        <w:ind w:firstLine="361"/>
        <w:spacing w:after="0" w:line="242" w:lineRule="auto"/>
        <w:rPr>
          <w:sz w:val="20"/>
          <w:szCs w:val="20"/>
          <w:color w:val="auto"/>
        </w:rPr>
      </w:pPr>
      <w:r>
        <w:rPr>
          <w:rFonts w:ascii="Times New Roman" w:cs="Times New Roman" w:eastAsia="Times New Roman" w:hAnsi="Times New Roman"/>
          <w:sz w:val="20"/>
          <w:szCs w:val="20"/>
          <w:color w:val="auto"/>
        </w:rPr>
        <w:t>Third-party payors decide which therapies they will pay for and establish reimbursement levels.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ABP-450 will be made on a payor-by-payor basis. Therefore, one payor’s determination to provide coverage for a product does not assure that other payors will also provide coverage, and adequate reimbursement, for the product or any related treatments.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drugs and biological products,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 In addition, because ABP-450 may be required to be physician-administered, separate reimbursement for the product itself may or may not be available. Instead, the administering physician may only be reimbursed for providing the treatment or procedure in which our product is used.</w:t>
      </w:r>
    </w:p>
    <w:p>
      <w:pPr>
        <w:spacing w:after="0" w:line="212" w:lineRule="exact"/>
        <w:rPr>
          <w:sz w:val="20"/>
          <w:szCs w:val="20"/>
          <w:color w:val="auto"/>
        </w:rPr>
      </w:pPr>
    </w:p>
    <w:p>
      <w:pPr>
        <w:ind w:right="60" w:firstLine="361"/>
        <w:spacing w:after="0" w:line="244" w:lineRule="auto"/>
        <w:rPr>
          <w:sz w:val="20"/>
          <w:szCs w:val="20"/>
          <w:color w:val="auto"/>
        </w:rPr>
      </w:pPr>
      <w:r>
        <w:rPr>
          <w:rFonts w:ascii="Times New Roman" w:cs="Times New Roman" w:eastAsia="Times New Roman" w:hAnsi="Times New Roman"/>
          <w:sz w:val="20"/>
          <w:szCs w:val="20"/>
          <w:color w:val="auto"/>
        </w:rPr>
        <w:t>There may be significant delays in obtaining such coverage and reimbursement for newly approved products, and coverage may be more limited than the purposes for which the product is approved by the FDA.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pharmaceutical prices and by any future relaxation of laws that presently restrict imports of product from countries where they may be sold at lower prices than in the United States.</w:t>
      </w:r>
    </w:p>
    <w:p>
      <w:pPr>
        <w:spacing w:after="0" w:line="203"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Third-party payors have attempted to control costs by limiting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regulatory approval. If coverage and adequate reimbursement are not available, or are available only at limited levels, we may not be able to successfully commercialize ABP-450.</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800"/>
          </w:cols>
          <w:pgMar w:left="540" w:top="1349" w:right="540" w:bottom="0" w:gutter="0" w:footer="0" w:header="0"/>
          <w:type w:val="continuous"/>
        </w:sectPr>
      </w:pPr>
    </w:p>
    <w:bookmarkStart w:id="36" w:name="page37"/>
    <w:bookmarkEnd w:id="36"/>
    <w:p>
      <w:pPr>
        <w:ind w:right="40" w:firstLine="360"/>
        <w:spacing w:after="0" w:line="245" w:lineRule="auto"/>
        <w:rPr>
          <w:sz w:val="20"/>
          <w:szCs w:val="20"/>
          <w:color w:val="auto"/>
        </w:rPr>
      </w:pPr>
      <w:r>
        <w:rPr>
          <w:rFonts w:ascii="Times New Roman" w:cs="Times New Roman" w:eastAsia="Times New Roman" w:hAnsi="Times New Roman"/>
          <w:sz w:val="20"/>
          <w:szCs w:val="20"/>
          <w:color w:val="auto"/>
        </w:rPr>
        <w:t>Outside the United States, international operations are generally subject to extensive governmental price controls and other market regulations, and we believe a continued emphasis on cost containment initiatives in Europe, Canada and other countries could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203" w:lineRule="exact"/>
        <w:rPr>
          <w:sz w:val="20"/>
          <w:szCs w:val="20"/>
          <w:color w:val="auto"/>
        </w:rPr>
      </w:pPr>
    </w:p>
    <w:p>
      <w:pPr>
        <w:ind w:right="80" w:firstLine="361"/>
        <w:spacing w:after="0" w:line="246" w:lineRule="auto"/>
        <w:rPr>
          <w:sz w:val="20"/>
          <w:szCs w:val="20"/>
          <w:color w:val="auto"/>
        </w:rPr>
      </w:pPr>
      <w:r>
        <w:rPr>
          <w:rFonts w:ascii="Times New Roman" w:cs="Times New Roman" w:eastAsia="Times New Roman" w:hAnsi="Times New Roman"/>
          <w:sz w:val="20"/>
          <w:szCs w:val="20"/>
          <w:color w:val="auto"/>
        </w:rPr>
        <w:t>Moreover, increasing efforts by governmental and third party payors in the United States and other jurisdictions to cap or reduce health 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w:t>
      </w:r>
    </w:p>
    <w:p>
      <w:pPr>
        <w:spacing w:after="0" w:line="199"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Recently, CMS has commenced the third cycle of the Medicare Drug Price Negotiation Program established under the IRA, which is associated with the IPAY 2028 and, for the first time, may include drugs payable under Medicare Part B in addition to drugs covered under Medicare Part D. On January 27, 2026, CMS published the list of 15 selected drugs for IPAY 2028, which</w:t>
      </w:r>
    </w:p>
    <w:p>
      <w:pPr>
        <w:spacing w:after="0" w:line="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includes Botox®. CMS has stated that negotiations with participating manufacturers for this third cycle will occur during 2026 and that any negotiated MFPs will be effective beginning January 1, 2028, and CMS has issued program guidance describing the timing and milestones for the negotiation process, including the exchange of manufacturer-specific data, CMS offers and counteroffers, and publication of negotiated prices. Selection of Botox® for IPAY 2028 and any resulting MFP may affect reimbursement, utilization, contracting, pricing and access dynamics for botulinum toxin therapies, including therapies administered in physician offices and reimbursed under Medicare Part B, and could impact the size, attractiveness, and economics of the therapeutic Botox® market and related competitive markets, which could affect the pricing we may receive if approved. CMS’ Negotiation Program guidance indicates that, if CMS later determines that the statutory criteria for bona fide generic or biosimilar competition are met for a selected drug, the drug may be removed from the selected drug list and the MFP may cease to apply in subsequent years, subject to timing mechanics in CMS guidance.</w:t>
      </w:r>
    </w:p>
    <w:p>
      <w:pPr>
        <w:spacing w:after="0" w:line="204"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Enacted and future legislation may increase the difficulty and cost for us to obtain marketing approval of and commercialize our products and may affect the prices we may set.</w:t>
      </w:r>
    </w:p>
    <w:p>
      <w:pPr>
        <w:spacing w:after="0" w:line="167"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In the United States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214" w:lineRule="exact"/>
        <w:rPr>
          <w:sz w:val="20"/>
          <w:szCs w:val="20"/>
          <w:color w:val="auto"/>
        </w:rPr>
      </w:pPr>
    </w:p>
    <w:p>
      <w:pPr>
        <w:ind w:left="720" w:right="100" w:hanging="361"/>
        <w:spacing w:after="0" w:line="247" w:lineRule="auto"/>
        <w:tabs>
          <w:tab w:leader="none" w:pos="72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1" w:lineRule="exact"/>
        <w:rPr>
          <w:rFonts w:ascii="Symbol" w:cs="Symbol" w:eastAsia="Symbol" w:hAnsi="Symbol"/>
          <w:sz w:val="20"/>
          <w:szCs w:val="20"/>
          <w:color w:val="auto"/>
        </w:rPr>
      </w:pPr>
    </w:p>
    <w:p>
      <w:pPr>
        <w:ind w:left="720" w:right="200" w:hanging="361"/>
        <w:spacing w:after="0" w:line="238" w:lineRule="auto"/>
        <w:tabs>
          <w:tab w:leader="none" w:pos="719"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an increase in the statutory minimum rebates a manufacturer must pay under the Medicaid Drug Rebate Program to 23.1% and 13.0% of the average manufacturer price for branded and generic drugs, respectively;</w:t>
      </w:r>
    </w:p>
    <w:p>
      <w:pPr>
        <w:spacing w:after="0" w:line="1" w:lineRule="exact"/>
        <w:rPr>
          <w:rFonts w:ascii="Symbol" w:cs="Symbol" w:eastAsia="Symbol" w:hAnsi="Symbol"/>
          <w:sz w:val="20"/>
          <w:szCs w:val="20"/>
          <w:color w:val="auto"/>
        </w:rPr>
      </w:pPr>
    </w:p>
    <w:p>
      <w:pPr>
        <w:ind w:left="720" w:right="240" w:hanging="360"/>
        <w:spacing w:after="0" w:line="239" w:lineRule="auto"/>
        <w:tabs>
          <w:tab w:leader="none" w:pos="72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a new methodology by which rebates owed by manufacturers under the Medicaid Drug Rebate Program are calculated for drugs that are inhaled, infused, instilled, implanted or injected;</w:t>
      </w:r>
    </w:p>
    <w:p>
      <w:pPr>
        <w:spacing w:after="0" w:line="1" w:lineRule="exact"/>
        <w:rPr>
          <w:rFonts w:ascii="Symbol" w:cs="Symbol" w:eastAsia="Symbol" w:hAnsi="Symbol"/>
          <w:sz w:val="20"/>
          <w:szCs w:val="20"/>
          <w:color w:val="auto"/>
        </w:rPr>
      </w:pPr>
    </w:p>
    <w:p>
      <w:pPr>
        <w:ind w:left="720" w:right="640" w:hanging="360"/>
        <w:spacing w:after="0" w:line="239" w:lineRule="auto"/>
        <w:tabs>
          <w:tab w:leader="none" w:pos="72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extension of a manufacturer’s Medicaid rebate liability to covered drugs dispensed to individuals who are enrolled in Medicaid managed care organizations;</w:t>
      </w:r>
    </w:p>
    <w:p>
      <w:pPr>
        <w:spacing w:after="0" w:line="1" w:lineRule="exact"/>
        <w:rPr>
          <w:rFonts w:ascii="Symbol" w:cs="Symbol" w:eastAsia="Symbol" w:hAnsi="Symbol"/>
          <w:sz w:val="20"/>
          <w:szCs w:val="20"/>
          <w:color w:val="auto"/>
        </w:rPr>
      </w:pPr>
    </w:p>
    <w:p>
      <w:pPr>
        <w:ind w:left="720" w:right="20" w:hanging="360"/>
        <w:spacing w:after="0" w:line="239" w:lineRule="auto"/>
        <w:tabs>
          <w:tab w:leader="none" w:pos="72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ectPr>
          <w:pgSz w:w="11880" w:h="15480" w:orient="portrait"/>
          <w:cols w:equalWidth="0" w:num="1">
            <w:col w:w="10720"/>
          </w:cols>
          <w:pgMar w:left="540" w:top="1349"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720"/>
          </w:cols>
          <w:pgMar w:left="540" w:top="1349" w:right="620" w:bottom="0" w:gutter="0" w:footer="0" w:header="0"/>
          <w:type w:val="continuous"/>
        </w:sectPr>
      </w:pPr>
    </w:p>
    <w:bookmarkStart w:id="37" w:name="page38"/>
    <w:bookmarkEnd w:id="37"/>
    <w:p>
      <w:pPr>
        <w:ind w:left="720" w:right="560" w:hanging="360"/>
        <w:spacing w:after="0" w:line="251" w:lineRule="auto"/>
        <w:tabs>
          <w:tab w:leader="none" w:pos="72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a new Patient-Centered Outcomes Research Institute to oversee, identify priorities in, and conduct comparative clinical effectiveness research, along with funding for such research; and</w:t>
      </w:r>
    </w:p>
    <w:p>
      <w:pPr>
        <w:ind w:left="720" w:right="520" w:hanging="360"/>
        <w:spacing w:after="0" w:line="239" w:lineRule="auto"/>
        <w:tabs>
          <w:tab w:leader="none" w:pos="72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establishment of a Center for Medicare and Medicaid Innovation at the Centers for Medicare and Medicaid Services, or CMS, to test innovative payment and service delivery models to lower Medicare and Medicaid spending, potentially including prescription drug spending.</w:t>
      </w:r>
    </w:p>
    <w:p>
      <w:pPr>
        <w:spacing w:after="0" w:line="85" w:lineRule="exact"/>
        <w:rPr>
          <w:sz w:val="20"/>
          <w:szCs w:val="20"/>
          <w:color w:val="auto"/>
        </w:rPr>
      </w:pPr>
    </w:p>
    <w:p>
      <w:pPr>
        <w:jc w:val="both"/>
        <w:ind w:right="120" w:firstLine="360"/>
        <w:spacing w:after="0" w:line="259" w:lineRule="auto"/>
        <w:rPr>
          <w:sz w:val="20"/>
          <w:szCs w:val="20"/>
          <w:color w:val="auto"/>
        </w:rPr>
      </w:pPr>
      <w:r>
        <w:rPr>
          <w:rFonts w:ascii="Times New Roman" w:cs="Times New Roman" w:eastAsia="Times New Roman" w:hAnsi="Times New Roman"/>
          <w:sz w:val="20"/>
          <w:szCs w:val="20"/>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86"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in the United States since the ACA was enacted. For example, the Budget Control Act of 2011 has, among other things, led to aggregate reductions of Medicare payments to providers, which, due to subsequent legislative amendments to the statute, will remain in effect through 2032, with the exception of a temporary suspension from May 1, 2020 through March 31, 2022,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the American Rescue Plan Act of 2021 was signed into law, which eliminated the statutory cap on drug manufacturers’ Medicaid drug rebate liability, beginning January 1, 2024. The rebate was previously capped at 100% of a drug’s average manufacturer price. These laws and any laws enacted in the future may result in additional reductions in Medicare and other health care funding, which could have a material adverse effect on our customers and accordingly, our financial operations.</w:t>
      </w:r>
    </w:p>
    <w:p>
      <w:pPr>
        <w:spacing w:after="0" w:line="210" w:lineRule="exact"/>
        <w:rPr>
          <w:sz w:val="20"/>
          <w:szCs w:val="20"/>
          <w:color w:val="auto"/>
        </w:rPr>
      </w:pPr>
    </w:p>
    <w:p>
      <w:pPr>
        <w:ind w:right="60" w:firstLine="360"/>
        <w:spacing w:after="0" w:line="244" w:lineRule="auto"/>
        <w:rPr>
          <w:sz w:val="20"/>
          <w:szCs w:val="20"/>
          <w:color w:val="auto"/>
        </w:rPr>
      </w:pPr>
      <w:r>
        <w:rPr>
          <w:rFonts w:ascii="Times New Roman" w:cs="Times New Roman" w:eastAsia="Times New Roman" w:hAnsi="Times New Roman"/>
          <w:sz w:val="20"/>
          <w:szCs w:val="20"/>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On August 16, 2022, the Inflation Reduction Act of 2022, or IRA, was signed into law. Among other things, the IRA requires manufacturers of certain drugs to engage in price negotiations with Medicare, with prices that can be negotiated subject to a cap; imposes rebates under Medicare Part B and Medicare Part D continue to penalize price increases that outpace inflation; and replaces the Part D coverage gap discount program with a new discounting program. The IRA permits the Secretary of the Department of Health and Human Services, or HHS, to implement many of these provisions through guidance, as opposed to regulation, for the initial years. HHS has and will continue to issue and update guidance as these programs are implemented. The full impact of the IRA on the pharmaceutical industry cannot yet be fully determined but is likely to be significant.</w:t>
      </w:r>
    </w:p>
    <w:p>
      <w:pPr>
        <w:spacing w:after="0" w:line="202"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Under the Medicare Drug Price Negotiation Program established under the IRA, CMS published the negotiated prices for the initial ten drugs covered under Part D, which went into effect in January 2026, and for the subsequent 15 drugs, which will first be effective in 2027. CMS has also commenced the third cycle of the Medicare Drug Price Negotiation Program, which is associated with the IPAY 2028 and, for the first time, may include drugs payable under Medicare Part B in addition to drugs covered under Medicare Part D. On January 27, 2026, CMS published the list of 15 selected drugs for IPAY 2028, which includes Botox®. CMS has stated that negotiations with participating manufacturers for this third cycle will occur during 2026 and that any negotiated MFPs will be effective beginning January 1, 2028, and CMS has issued program guidance describing the timing and milestones for the negotiation process, including the exchange of manufacturer-specific data, CMS offers and counteroffers, and publication of negotiated prices. Selection of Botox® for IPAY 2028 and any resulting MFP may affect reimbursement, utilization, contracting, pricing and access dynamics for botulinum toxin therapies, including therapies administered in physician offices and reimbursed under Medicare Part B, and could impact the size, attractiveness, and economics of the therapeutic Botox® market and related competitive markets.</w:t>
      </w:r>
    </w:p>
    <w:p>
      <w:pPr>
        <w:spacing w:after="0" w:line="207" w:lineRule="exact"/>
        <w:rPr>
          <w:sz w:val="20"/>
          <w:szCs w:val="20"/>
          <w:color w:val="auto"/>
        </w:rPr>
      </w:pPr>
    </w:p>
    <w:p>
      <w:pPr>
        <w:jc w:val="both"/>
        <w:ind w:right="260" w:firstLine="360"/>
        <w:spacing w:after="0" w:line="259" w:lineRule="auto"/>
        <w:rPr>
          <w:sz w:val="20"/>
          <w:szCs w:val="20"/>
          <w:color w:val="auto"/>
        </w:rPr>
      </w:pPr>
      <w:r>
        <w:rPr>
          <w:rFonts w:ascii="Times New Roman" w:cs="Times New Roman" w:eastAsia="Times New Roman" w:hAnsi="Times New Roman"/>
          <w:sz w:val="20"/>
          <w:szCs w:val="20"/>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186" w:lineRule="exact"/>
        <w:rPr>
          <w:sz w:val="20"/>
          <w:szCs w:val="20"/>
          <w:color w:val="auto"/>
        </w:rPr>
      </w:pPr>
    </w:p>
    <w:p>
      <w:pPr>
        <w:ind w:right="20" w:firstLine="360"/>
        <w:spacing w:after="0" w:line="246" w:lineRule="auto"/>
        <w:rPr>
          <w:sz w:val="20"/>
          <w:szCs w:val="20"/>
          <w:color w:val="auto"/>
        </w:rPr>
      </w:pPr>
      <w:r>
        <w:rPr>
          <w:rFonts w:ascii="Times New Roman" w:cs="Times New Roman" w:eastAsia="Times New Roman" w:hAnsi="Times New Roman"/>
          <w:sz w:val="20"/>
          <w:szCs w:val="20"/>
          <w:color w:val="auto"/>
        </w:rPr>
        <w:t>In 2026, the U.S. government also launched TrumpRx, a federal initiative to enable patients to gain access to certain prescription drugs at reduced costs based on pricing available in other countries (i.e., most-favored-nation pricing). In addition, the Trump administration is pursuing a two-fold strategy to reduce drug costs in the United States. While it is unclear whether and how the Trump proposals will be implemented, the Trump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United States to the lowest price in a group of other countries. In response, multiple</w:t>
      </w:r>
    </w:p>
    <w:p>
      <w:pPr>
        <w:sectPr>
          <w:pgSz w:w="11880" w:h="15480" w:orient="portrait"/>
          <w:cols w:equalWidth="0" w:num="1">
            <w:col w:w="10800"/>
          </w:cols>
          <w:pgMar w:left="540" w:top="1364" w:right="54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800"/>
          </w:cols>
          <w:pgMar w:left="540" w:top="1364" w:right="540" w:bottom="0" w:gutter="0" w:footer="0" w:header="0"/>
          <w:type w:val="continuous"/>
        </w:sectPr>
      </w:pPr>
    </w:p>
    <w:bookmarkStart w:id="38" w:name="page39"/>
    <w:bookmarkEnd w:id="38"/>
    <w:p>
      <w:pPr>
        <w:ind w:right="160"/>
        <w:spacing w:after="0" w:line="261" w:lineRule="auto"/>
        <w:rPr>
          <w:sz w:val="20"/>
          <w:szCs w:val="20"/>
          <w:color w:val="auto"/>
        </w:rPr>
      </w:pPr>
      <w:r>
        <w:rPr>
          <w:rFonts w:ascii="Times New Roman" w:cs="Times New Roman" w:eastAsia="Times New Roman" w:hAnsi="Times New Roman"/>
          <w:sz w:val="19"/>
          <w:szCs w:val="19"/>
          <w:color w:val="auto"/>
        </w:rPr>
        <w:t>manufacturers have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spacing w:after="0" w:line="188" w:lineRule="exact"/>
        <w:rPr>
          <w:sz w:val="20"/>
          <w:szCs w:val="20"/>
          <w:color w:val="auto"/>
        </w:rPr>
      </w:pPr>
    </w:p>
    <w:p>
      <w:pPr>
        <w:jc w:val="both"/>
        <w:ind w:right="380" w:firstLine="360"/>
        <w:spacing w:after="0" w:line="259" w:lineRule="auto"/>
        <w:rPr>
          <w:sz w:val="20"/>
          <w:szCs w:val="20"/>
          <w:color w:val="auto"/>
        </w:rPr>
      </w:pPr>
      <w:r>
        <w:rPr>
          <w:rFonts w:ascii="Times New Roman" w:cs="Times New Roman" w:eastAsia="Times New Roman" w:hAnsi="Times New Roman"/>
          <w:sz w:val="20"/>
          <w:szCs w:val="20"/>
          <w:color w:val="auto"/>
        </w:rPr>
        <w:t>We expect that additional U.S. federal healthcare reform measures will be adopted in the future, any of which could limit the amounts that the U.S. federal government will pay for healthcare products and services, which could result in reduced demand for ABP-450, if approved, or additional pricing pressures.</w:t>
      </w:r>
    </w:p>
    <w:p>
      <w:pPr>
        <w:spacing w:after="0" w:line="186"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marketing cost disclosure, drug price reporting and other transparency measures.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Some measures are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w:t>
      </w:r>
    </w:p>
    <w:p>
      <w:pPr>
        <w:spacing w:after="0" w:line="209"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products may lose any regulatory approval that may have been obtained and we may not achieve or sustain profitability.</w:t>
      </w:r>
    </w:p>
    <w:p>
      <w:pPr>
        <w:spacing w:after="0" w:line="197"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ABP-450, if approved, will face significant competition and our failure to effectively compete may prevent us from achieving significant market penetration and expansion.</w:t>
      </w:r>
    </w:p>
    <w:p>
      <w:pPr>
        <w:spacing w:after="0" w:line="168" w:lineRule="exact"/>
        <w:rPr>
          <w:sz w:val="20"/>
          <w:szCs w:val="20"/>
          <w:color w:val="auto"/>
        </w:rPr>
      </w:pPr>
    </w:p>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The pharmaceutical industry is highly competitive and requires an ongoing, extensive search for technological innovation. It also requires, among other things, the ability to effectively discover, develop, test and obtain regulatory approvals for novel products, as well as the ability to effectively commercialize, market and promote approved products, including communicating the effectiveness, safety and value of products to actual and prospective customers and medical professionals. Numerous companies are engaged in the development, manufacture and marketing of products competitive with those that we are developing.</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primary competitors for ABP-450 in the injectable botulinum toxin pharmaceutical market for therapeutic use are:</w:t>
      </w:r>
    </w:p>
    <w:p>
      <w:pPr>
        <w:spacing w:after="0" w:line="254" w:lineRule="exact"/>
        <w:rPr>
          <w:sz w:val="20"/>
          <w:szCs w:val="20"/>
          <w:color w:val="auto"/>
        </w:rPr>
      </w:pPr>
    </w:p>
    <w:p>
      <w:pPr>
        <w:ind w:left="720" w:right="120" w:hanging="361"/>
        <w:spacing w:after="0" w:line="244" w:lineRule="auto"/>
        <w:tabs>
          <w:tab w:leader="none" w:pos="72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Botox®, which is marketed by AbbVie, and since its original approval by the FDA in 1989 has been approved for multiple therapeutic indications, including migraine, cervical dystonia, upper and lower limb spasticity, strabismus, blepharospasm, overactive bladder, axillary hyperhidrosis, neurogenic detrusor overactivity and overactive bladder, and which is currently studying its botulinum toxin for therapeutic indications of episodic migraine, essential tremor and interstitial cystitis/bladder pain syndrome;</w:t>
      </w:r>
    </w:p>
    <w:p>
      <w:pPr>
        <w:spacing w:after="0" w:line="2" w:lineRule="exact"/>
        <w:rPr>
          <w:rFonts w:ascii="Symbol" w:cs="Symbol" w:eastAsia="Symbol" w:hAnsi="Symbol"/>
          <w:sz w:val="20"/>
          <w:szCs w:val="20"/>
          <w:color w:val="auto"/>
        </w:rPr>
      </w:pPr>
    </w:p>
    <w:p>
      <w:pPr>
        <w:ind w:left="720" w:right="120" w:hanging="362"/>
        <w:spacing w:after="0" w:line="239" w:lineRule="auto"/>
        <w:tabs>
          <w:tab w:leader="none" w:pos="718"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Dysport®, which is marketed by Ipsen Ltd. As an injectable botulinum toxin for the therapeutic indications of cervical dystonia and upper and lower limb spasticity, and which is currently studying its botulinum toxin for therapeutic indications of neurogenic detrusor overactivity and migraine (episodic and chronic);</w:t>
      </w:r>
    </w:p>
    <w:p>
      <w:pPr>
        <w:spacing w:after="0" w:line="1" w:lineRule="exact"/>
        <w:rPr>
          <w:rFonts w:ascii="Symbol" w:cs="Symbol" w:eastAsia="Symbol" w:hAnsi="Symbol"/>
          <w:sz w:val="20"/>
          <w:szCs w:val="20"/>
          <w:color w:val="auto"/>
        </w:rPr>
      </w:pPr>
    </w:p>
    <w:p>
      <w:pPr>
        <w:ind w:left="720" w:right="80" w:hanging="360"/>
        <w:spacing w:after="0" w:line="239" w:lineRule="auto"/>
        <w:tabs>
          <w:tab w:leader="none" w:pos="72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Xeomin®, which is marketed by Merz Pharmaceuticals, LLC as an injectable botulinum toxin for the therapeutic indications of cervical dystonia, blepharospasm, chronic sialorrhea and upper limb spasticity; and</w:t>
      </w:r>
    </w:p>
    <w:p>
      <w:pPr>
        <w:spacing w:after="0" w:line="1" w:lineRule="exact"/>
        <w:rPr>
          <w:rFonts w:ascii="Symbol" w:cs="Symbol" w:eastAsia="Symbol" w:hAnsi="Symbol"/>
          <w:sz w:val="20"/>
          <w:szCs w:val="20"/>
          <w:color w:val="auto"/>
        </w:rPr>
      </w:pPr>
    </w:p>
    <w:p>
      <w:pPr>
        <w:ind w:left="720" w:hanging="360"/>
        <w:spacing w:after="0"/>
        <w:tabs>
          <w:tab w:leader="none" w:pos="72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Revance Therapeutics, Inc., or Revance, which is currently studying, preparing BLA submissions for and/or has received approval for, its injectable botulinum toxin, daxibotulinumtoxinA, for the therapeutic indications of cervical dystonia and adult upper limb spasticity, and which has also entered into a collaboration and license agreement with Viatris Inc. to develop and commercialize a biosimilar to Botox®.</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780"/>
          </w:cols>
          <w:pgMar w:left="540" w:top="1349" w:right="560" w:bottom="0" w:gutter="0" w:footer="0" w:header="0"/>
          <w:type w:val="continuous"/>
        </w:sectPr>
      </w:pPr>
    </w:p>
    <w:bookmarkStart w:id="39" w:name="page40"/>
    <w:bookmarkEnd w:id="39"/>
    <w:p>
      <w:pPr>
        <w:ind w:firstLine="360"/>
        <w:spacing w:after="0" w:line="249" w:lineRule="auto"/>
        <w:rPr>
          <w:sz w:val="20"/>
          <w:szCs w:val="20"/>
          <w:color w:val="auto"/>
        </w:rPr>
      </w:pPr>
      <w:r>
        <w:rPr>
          <w:rFonts w:ascii="Times New Roman" w:cs="Times New Roman" w:eastAsia="Times New Roman" w:hAnsi="Times New Roman"/>
          <w:sz w:val="20"/>
          <w:szCs w:val="20"/>
          <w:color w:val="auto"/>
        </w:rPr>
        <w:t>We are also aware of competing botulinum toxins currently being developed or commercialized in the United States, European Union, Asia, South America and other markets. While some of these products may not meet United States regulatory standards, the companies operating in these markets may be able to produce products at a lower cost than United States and European manufacturers. In addition to the injectable botulinum toxin dose forms, we are aware that other companies are developing topical botulinum toxins for therapeutic indications. We will also face competition in our target therapeutic markets from other pharmaceutical products.</w:t>
      </w:r>
    </w:p>
    <w:p>
      <w:pPr>
        <w:spacing w:after="0" w:line="198" w:lineRule="exact"/>
        <w:rPr>
          <w:sz w:val="20"/>
          <w:szCs w:val="20"/>
          <w:color w:val="auto"/>
        </w:rPr>
      </w:pPr>
    </w:p>
    <w:p>
      <w:pPr>
        <w:ind w:right="220" w:firstLine="360"/>
        <w:spacing w:after="0" w:line="252" w:lineRule="auto"/>
        <w:rPr>
          <w:sz w:val="20"/>
          <w:szCs w:val="20"/>
          <w:color w:val="auto"/>
        </w:rPr>
      </w:pPr>
      <w:r>
        <w:rPr>
          <w:rFonts w:ascii="Times New Roman" w:cs="Times New Roman" w:eastAsia="Times New Roman" w:hAnsi="Times New Roman"/>
          <w:sz w:val="20"/>
          <w:szCs w:val="20"/>
          <w:color w:val="auto"/>
        </w:rPr>
        <w:t>As more companies develop new intellectual property in our markets, the possibility of a competitor acquiring patent or other rights that may limit our products or potential products increases, which could lead to litigation. In addition to product development, testing, approval and promotion, other competitive factors in the pharmaceutical industry include industry consolidation, product quality and price, product technology, reputation, customer service and access to technical information.</w:t>
      </w:r>
    </w:p>
    <w:p>
      <w:pPr>
        <w:spacing w:after="0" w:line="19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sales and marketing capabilities on our own or through third parties, we will be unable to successfully commercialize ABP-450, if approved, or generate product revenue.</w:t>
      </w:r>
    </w:p>
    <w:p>
      <w:pPr>
        <w:spacing w:after="0" w:line="167" w:lineRule="exact"/>
        <w:rPr>
          <w:sz w:val="20"/>
          <w:szCs w:val="20"/>
          <w:color w:val="auto"/>
        </w:rPr>
      </w:pPr>
    </w:p>
    <w:p>
      <w:pPr>
        <w:ind w:right="100" w:firstLine="362"/>
        <w:spacing w:after="0" w:line="243" w:lineRule="auto"/>
        <w:rPr>
          <w:sz w:val="20"/>
          <w:szCs w:val="20"/>
          <w:color w:val="auto"/>
        </w:rPr>
      </w:pPr>
      <w:r>
        <w:rPr>
          <w:rFonts w:ascii="Times New Roman" w:cs="Times New Roman" w:eastAsia="Times New Roman" w:hAnsi="Times New Roman"/>
          <w:sz w:val="20"/>
          <w:szCs w:val="20"/>
          <w:color w:val="auto"/>
        </w:rPr>
        <w:t>We do not have a sales or marketing infrastructure and have little experience in the sale, marketing, or distribution of pharmaceutical products. To successfully commercialize ABP-450, if approved, in the United States and other jurisdictions we may seek to enter, we will need to build out our sales and marketing capabilities, either on our own or with others. The establishment and development of our own commercial team or the establishment of a contract sales force to market ABP-450 will be expensive and time-consuming and may divert significant management focus and resources, potentially delaying any product launch. Moreover, we cannot be certain that we will be able to successfully develop this capability, given that we have no experience as a company in commercializing products. We may seek to enter into collaborations with other entities to utilize their established marketing and distribution capabilities, but we may be unable to enter into or maintain such agreements on favorable terms or at all. We can provide no assurance that any future collaborators will provide effective sales forces or marketing and distribution capabilities. We compete with many companies that currently have extensive, experienced and well-funded marketing and sales operations to recruit, hire, train and retain marketing and sales personnel, and will have to compete with those companies to recruit, hire, train and retain any of our own marketing and sales personnel. We will likely also face competition if we seek third parties to assist us with the sales and marketing efforts of ABP-450. Without an internal team or the support of a third party to perform marketing and sales functions, we may be unable to compete successfully against these more established companies.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will need to grow the size of our organization, and we may experience difficulties in managing this growth.</w:t>
      </w:r>
    </w:p>
    <w:p>
      <w:pPr>
        <w:spacing w:after="0" w:line="239" w:lineRule="exact"/>
        <w:rPr>
          <w:sz w:val="20"/>
          <w:szCs w:val="20"/>
          <w:color w:val="auto"/>
        </w:rPr>
      </w:pPr>
    </w:p>
    <w:p>
      <w:pPr>
        <w:ind w:right="60" w:firstLine="361"/>
        <w:spacing w:after="0" w:line="244" w:lineRule="auto"/>
        <w:rPr>
          <w:sz w:val="20"/>
          <w:szCs w:val="20"/>
          <w:color w:val="auto"/>
        </w:rPr>
      </w:pPr>
      <w:r>
        <w:rPr>
          <w:rFonts w:ascii="Times New Roman" w:cs="Times New Roman" w:eastAsia="Times New Roman" w:hAnsi="Times New Roman"/>
          <w:sz w:val="20"/>
          <w:szCs w:val="20"/>
          <w:color w:val="auto"/>
        </w:rPr>
        <w:t>As of December 31, 2025, we had eight employees. If ABP-450 receives regulatory approval, we expect to experience significant growth in the number of our employees and the scope of our operations, particularly in the areas of research, development, regulatory affairs, sales, marketing and distribution. In addition, we also expect to hire additional personnel in order to operate as a public company. To manage our anticipated future growth, we must continue to implement and improve our managerial, operational and financial systems, expand our facilities, and continue to recruit and train additional qualified personnel. In addition, we must effectively integrate, develop and motivate a growing number of new employees, and maintain the beneficial aspects of our corporate culture. The expansion of our operations may lead to significant costs and may divert our management and business development resources. We may not be able to effectively manage the expansion of our operations or recruit and train additional qualified personnel. Any inability to manage growth could delay the execution of our development and strategic objectives or disrupt our operations.</w:t>
      </w:r>
    </w:p>
    <w:p>
      <w:pPr>
        <w:spacing w:after="0" w:line="201" w:lineRule="exact"/>
        <w:rPr>
          <w:sz w:val="20"/>
          <w:szCs w:val="20"/>
          <w:color w:val="auto"/>
        </w:rPr>
      </w:pPr>
    </w:p>
    <w:p>
      <w:pPr>
        <w:ind w:right="20" w:firstLine="359"/>
        <w:spacing w:after="0" w:line="245" w:lineRule="auto"/>
        <w:rPr>
          <w:sz w:val="20"/>
          <w:szCs w:val="20"/>
          <w:color w:val="auto"/>
        </w:rPr>
      </w:pPr>
      <w:r>
        <w:rPr>
          <w:rFonts w:ascii="Times New Roman" w:cs="Times New Roman" w:eastAsia="Times New Roman" w:hAnsi="Times New Roman"/>
          <w:sz w:val="20"/>
          <w:szCs w:val="20"/>
          <w:color w:val="auto"/>
        </w:rPr>
        <w:t>We currently rely, and for the foreseeable future will continue to rely, in substantial part on third parties, including independent organizations, advisors and consultants, and CROs to provide certain services to support and perform our operations. There can be no assurance that the services of these third parties will continue to be available to us on a timely basis when needed, or that we can find qualified replacements. In addition, if we are unable to effectively manage our outsourced activities or if the quality, accuracy or quantity of the services provided, in particular the services provided by our CROs, is compromised for any reason, our clinical studies may be delayed or terminated, and we may not be able to obtain, or may be substantially delayed in obtaining, regulatory approval of ABP-450 or otherwise advance our business. There can be no assurance that we will be able to manage our existing consultants or find other suitable outside contractors and consultants on economically reasonable terms, or at all.</w:t>
      </w:r>
    </w:p>
    <w:p>
      <w:pPr>
        <w:spacing w:after="0" w:line="202" w:lineRule="exact"/>
        <w:rPr>
          <w:sz w:val="20"/>
          <w:szCs w:val="20"/>
          <w:color w:val="auto"/>
        </w:rPr>
      </w:pPr>
    </w:p>
    <w:p>
      <w:pPr>
        <w:ind w:right="12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Our employees, independent contractors, consultants, commercial collaborators, principal investigators, vendors and other agents may engage in misconduct or other improper activities, including non-compliance with regulatory standards and requirements.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800"/>
          </w:cols>
          <w:pgMar w:left="540" w:top="1349" w:right="540" w:bottom="0" w:gutter="0" w:footer="0" w:header="0"/>
          <w:type w:val="continuous"/>
        </w:sectPr>
      </w:pPr>
    </w:p>
    <w:bookmarkStart w:id="40" w:name="page41"/>
    <w:bookmarkEnd w:id="40"/>
    <w:p>
      <w:pPr>
        <w:ind w:firstLine="362"/>
        <w:spacing w:after="0" w:line="241" w:lineRule="auto"/>
        <w:rPr>
          <w:sz w:val="20"/>
          <w:szCs w:val="20"/>
          <w:color w:val="auto"/>
        </w:rPr>
      </w:pPr>
      <w:r>
        <w:rPr>
          <w:rFonts w:ascii="Times New Roman" w:cs="Times New Roman" w:eastAsia="Times New Roman" w:hAnsi="Times New Roman"/>
          <w:sz w:val="20"/>
          <w:szCs w:val="20"/>
          <w:color w:val="auto"/>
        </w:rPr>
        <w:t>We are exposed to the risk that our employees, independent contractors, consultants, commercial collaborators, principal investigators, vendors and other agents may engage in fraudulent conduct or other illegal activity. Misconduct by these parties could include intentional, reckless or negligent conduct or disclosure of unauthorized activities to us that violates applicable regulations, including those laws requiring the reporting of true, complete and accurate information to regulatory agencies, manufacturing standards, and federal and state healthcare laws and regulations. In particular, sales, marketing and business arrangements in the healthcare industry are subject to extensive laws and regulations intended to prevent fraud, kickbacks, self-dealing and other abusive practices. We could face liability under the federal Anti -Kickback Statute and similar state laws. These laws and regulations may restrict or prohibit a wide range of pricing, discounting, marketing and promotion, sales commission, referrals, customer incentive programs and other business arrangements. Misconduct by these parties could also involve the improper use of individually identifiable information, including, without limitation, information obtained in the course of clinical studies, which could result in significant regulatory sanctions and serious harm to our reputation. Further, should violations include promotion of unapproved (off-label) uses of one or more of our products, we could face significant regulatory sanctions for unlawful promotion, as well as substantial penalties under the federal False Claims Act, or FCA, and similar state laws. Similar concerns could exist in jurisdictions outside of the United States as well.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of our operations, any of which could adversely affect our ability to operate our business, financial condition and results of operations.</w:t>
      </w:r>
    </w:p>
    <w:p>
      <w:pPr>
        <w:spacing w:after="0" w:line="219"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potential international operations will expose us to risks, and failure to manage these risks may adversely affect our operating results and financial condition.</w:t>
      </w:r>
    </w:p>
    <w:p>
      <w:pPr>
        <w:spacing w:after="0" w:line="168"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We expect to have operations both inside and outside the United States if ABP-450 is approved for commercial sale in multiple jurisdictions. International operations are subject to a number of inherent risks, and our future results could be adversely affected by a number of factors if we seek and obtain the necessary approvals, including:</w:t>
      </w:r>
    </w:p>
    <w:p>
      <w:pPr>
        <w:spacing w:after="0" w:line="202" w:lineRule="exact"/>
        <w:rPr>
          <w:sz w:val="20"/>
          <w:szCs w:val="20"/>
          <w:color w:val="auto"/>
        </w:rPr>
      </w:pPr>
    </w:p>
    <w:p>
      <w:pPr>
        <w:ind w:left="720" w:hanging="362"/>
        <w:spacing w:after="0"/>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requirements or preferences for domestic products, which could reduce demand for our products;</w:t>
      </w:r>
    </w:p>
    <w:p>
      <w:pPr>
        <w:spacing w:after="0" w:line="21" w:lineRule="exact"/>
        <w:rPr>
          <w:rFonts w:ascii="Symbol" w:cs="Symbol" w:eastAsia="Symbol" w:hAnsi="Symbol"/>
          <w:sz w:val="20"/>
          <w:szCs w:val="20"/>
          <w:color w:val="auto"/>
        </w:rPr>
      </w:pPr>
    </w:p>
    <w:p>
      <w:pPr>
        <w:ind w:left="720" w:hanging="362"/>
        <w:spacing w:after="0"/>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differing existing or future regulatory and certification requirements;</w:t>
      </w:r>
    </w:p>
    <w:p>
      <w:pPr>
        <w:ind w:left="720" w:hanging="362"/>
        <w:spacing w:after="0"/>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management communication and integration problems resulting from cultural and geographic dispersion;</w:t>
      </w:r>
    </w:p>
    <w:p>
      <w:pPr>
        <w:ind w:left="720" w:hanging="362"/>
        <w:spacing w:after="0" w:line="238" w:lineRule="auto"/>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greater difficulty in collecting accounts receivable and longer collection periods;</w:t>
      </w:r>
    </w:p>
    <w:p>
      <w:pPr>
        <w:ind w:left="720" w:hanging="362"/>
        <w:spacing w:after="0"/>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difficulties in enforcing contracts;</w:t>
      </w:r>
    </w:p>
    <w:p>
      <w:pPr>
        <w:ind w:left="720" w:hanging="362"/>
        <w:spacing w:after="0"/>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difficulties and costs of staffing and managing non-United States operations;</w:t>
      </w:r>
    </w:p>
    <w:p>
      <w:pPr>
        <w:ind w:left="720" w:hanging="360"/>
        <w:spacing w:after="0" w:line="236" w:lineRule="auto"/>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the uncertainty of protection for intellectual property rights in some countries;</w:t>
      </w:r>
    </w:p>
    <w:p>
      <w:pPr>
        <w:spacing w:after="0" w:line="1" w:lineRule="exact"/>
        <w:rPr>
          <w:rFonts w:ascii="Symbol" w:cs="Symbol" w:eastAsia="Symbol" w:hAnsi="Symbol"/>
          <w:sz w:val="20"/>
          <w:szCs w:val="20"/>
          <w:color w:val="auto"/>
        </w:rPr>
      </w:pPr>
    </w:p>
    <w:p>
      <w:pPr>
        <w:ind w:left="720" w:right="740" w:hanging="360"/>
        <w:spacing w:after="0" w:line="239" w:lineRule="auto"/>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tariffs and trade barriers, export regulations and other regulatory and contractual limitations on our ability to sell our products;</w:t>
      </w:r>
    </w:p>
    <w:p>
      <w:pPr>
        <w:spacing w:after="0" w:line="1" w:lineRule="exact"/>
        <w:rPr>
          <w:rFonts w:ascii="Symbol" w:cs="Symbol" w:eastAsia="Symbol" w:hAnsi="Symbol"/>
          <w:sz w:val="20"/>
          <w:szCs w:val="20"/>
          <w:color w:val="auto"/>
        </w:rPr>
      </w:pPr>
    </w:p>
    <w:p>
      <w:pPr>
        <w:ind w:left="720" w:hanging="360"/>
        <w:spacing w:after="0"/>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more stringent data protection standards in some countries;</w:t>
      </w:r>
    </w:p>
    <w:p>
      <w:pPr>
        <w:ind w:left="720" w:hanging="360"/>
        <w:spacing w:after="0"/>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concerns limiting ability to import or export products;</w:t>
      </w:r>
    </w:p>
    <w:p>
      <w:pPr>
        <w:ind w:left="720" w:right="280" w:hanging="360"/>
        <w:spacing w:after="0" w:line="239" w:lineRule="auto"/>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greater risk of a failure of foreign employees to comply with both United States and foreign laws, including export and antitrust regulations, the United States Foreign Corrupt Practices Act, or the FCPA, quality assurance and other healthcare regulatory requirements and any trade regulations ensuring fair trade practices;</w:t>
      </w:r>
    </w:p>
    <w:p>
      <w:pPr>
        <w:spacing w:after="0" w:line="2" w:lineRule="exact"/>
        <w:rPr>
          <w:rFonts w:ascii="Symbol" w:cs="Symbol" w:eastAsia="Symbol" w:hAnsi="Symbol"/>
          <w:sz w:val="20"/>
          <w:szCs w:val="20"/>
          <w:color w:val="auto"/>
        </w:rPr>
      </w:pPr>
    </w:p>
    <w:p>
      <w:pPr>
        <w:ind w:left="720" w:right="720" w:hanging="360"/>
        <w:spacing w:after="0" w:line="239" w:lineRule="auto"/>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 w:lineRule="exact"/>
        <w:rPr>
          <w:rFonts w:ascii="Symbol" w:cs="Symbol" w:eastAsia="Symbol" w:hAnsi="Symbol"/>
          <w:sz w:val="20"/>
          <w:szCs w:val="20"/>
          <w:color w:val="auto"/>
        </w:rPr>
      </w:pPr>
    </w:p>
    <w:p>
      <w:pPr>
        <w:ind w:left="720" w:hanging="360"/>
        <w:spacing w:after="0" w:line="238" w:lineRule="auto"/>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foreign currency exchange rates;</w:t>
      </w:r>
    </w:p>
    <w:p>
      <w:pPr>
        <w:ind w:left="720" w:right="220" w:hanging="360"/>
        <w:spacing w:after="0"/>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potentially adverse tax consequences, including multiple and possibly overlapping tax structures and difficulties relating to repatriation of cash; and</w:t>
      </w:r>
    </w:p>
    <w:p>
      <w:pPr>
        <w:jc w:val="both"/>
        <w:ind w:left="720" w:right="660" w:hanging="360"/>
        <w:spacing w:after="0" w:line="239" w:lineRule="auto"/>
        <w:tabs>
          <w:tab w:leader="none" w:pos="72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political and economic instability, political unrest and terrorism. These and other factors associated with international operations could harm our ability to gain future revenue and, consequently, materially impact our business, results of operations and financial condition.</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780"/>
          </w:cols>
          <w:pgMar w:left="540" w:top="1349" w:right="560" w:bottom="0" w:gutter="0" w:footer="0" w:header="0"/>
          <w:type w:val="continuous"/>
        </w:sectPr>
      </w:pPr>
    </w:p>
    <w:bookmarkStart w:id="41" w:name="page42"/>
    <w:bookmarkEnd w:id="41"/>
    <w:p>
      <w:pPr>
        <w:ind w:right="1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product liability lawsuits are brought against us, we may incur substantial liabilities and may be required to limit commercialization of ABP-450.</w:t>
      </w:r>
    </w:p>
    <w:p>
      <w:pPr>
        <w:spacing w:after="0" w:line="168" w:lineRule="exact"/>
        <w:rPr>
          <w:sz w:val="20"/>
          <w:szCs w:val="20"/>
          <w:color w:val="auto"/>
        </w:rPr>
      </w:pPr>
    </w:p>
    <w:p>
      <w:pPr>
        <w:ind w:right="60" w:firstLine="360"/>
        <w:spacing w:after="0" w:line="245" w:lineRule="auto"/>
        <w:rPr>
          <w:sz w:val="20"/>
          <w:szCs w:val="20"/>
          <w:color w:val="auto"/>
        </w:rPr>
      </w:pPr>
      <w:r>
        <w:rPr>
          <w:rFonts w:ascii="Times New Roman" w:cs="Times New Roman" w:eastAsia="Times New Roman" w:hAnsi="Times New Roman"/>
          <w:sz w:val="20"/>
          <w:szCs w:val="20"/>
          <w:color w:val="auto"/>
        </w:rPr>
        <w:t>We face an inherent risk of product liability as a result of the clinical testing of ABP-450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216" w:lineRule="exact"/>
        <w:rPr>
          <w:sz w:val="20"/>
          <w:szCs w:val="20"/>
          <w:color w:val="auto"/>
        </w:rPr>
      </w:pPr>
    </w:p>
    <w:p>
      <w:pPr>
        <w:ind w:left="720" w:hanging="360"/>
        <w:spacing w:after="0"/>
        <w:tabs>
          <w:tab w:leader="none" w:pos="72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decreased demand for ABP-450;</w:t>
      </w:r>
    </w:p>
    <w:p>
      <w:pPr>
        <w:spacing w:after="0" w:line="21" w:lineRule="exact"/>
        <w:rPr>
          <w:rFonts w:ascii="Symbol" w:cs="Symbol" w:eastAsia="Symbol" w:hAnsi="Symbol"/>
          <w:sz w:val="20"/>
          <w:szCs w:val="20"/>
          <w:color w:val="auto"/>
        </w:rPr>
      </w:pPr>
    </w:p>
    <w:p>
      <w:pPr>
        <w:ind w:left="720" w:hanging="360"/>
        <w:spacing w:after="0" w:line="238" w:lineRule="auto"/>
        <w:tabs>
          <w:tab w:leader="none" w:pos="72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termination of clinical study sites or entire study programs;</w:t>
      </w:r>
    </w:p>
    <w:p>
      <w:pPr>
        <w:ind w:left="720" w:hanging="360"/>
        <w:spacing w:after="0"/>
        <w:tabs>
          <w:tab w:leader="none" w:pos="72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ind w:left="720" w:hanging="360"/>
        <w:spacing w:after="0"/>
        <w:tabs>
          <w:tab w:leader="none" w:pos="72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withdrawal of clinical study participants or cancellation of clinical studies;</w:t>
      </w:r>
    </w:p>
    <w:p>
      <w:pPr>
        <w:ind w:left="720" w:hanging="360"/>
        <w:spacing w:after="0" w:line="238" w:lineRule="auto"/>
        <w:tabs>
          <w:tab w:leader="none" w:pos="72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significant costs to defend the related litigation;</w:t>
      </w:r>
    </w:p>
    <w:p>
      <w:pPr>
        <w:ind w:left="720" w:hanging="360"/>
        <w:spacing w:after="0"/>
        <w:tabs>
          <w:tab w:leader="none" w:pos="72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a diversion of management’s time and our resources;</w:t>
      </w:r>
    </w:p>
    <w:p>
      <w:pPr>
        <w:ind w:left="720" w:hanging="360"/>
        <w:spacing w:after="0" w:line="238" w:lineRule="auto"/>
        <w:tabs>
          <w:tab w:leader="none" w:pos="72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substantial monetary awards to study participants or patients;</w:t>
      </w:r>
    </w:p>
    <w:p>
      <w:pPr>
        <w:ind w:left="720" w:hanging="360"/>
        <w:spacing w:after="0"/>
        <w:tabs>
          <w:tab w:leader="none" w:pos="72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investigations, product recalls, withdrawals or labeling, marketing or promotional restrictions;</w:t>
      </w:r>
    </w:p>
    <w:p>
      <w:pPr>
        <w:ind w:left="720" w:hanging="360"/>
        <w:spacing w:after="0"/>
        <w:tabs>
          <w:tab w:leader="none" w:pos="72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loss of revenue;</w:t>
      </w:r>
    </w:p>
    <w:p>
      <w:pPr>
        <w:ind w:left="720" w:hanging="360"/>
        <w:spacing w:after="0" w:line="238" w:lineRule="auto"/>
        <w:tabs>
          <w:tab w:leader="none" w:pos="72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inability to commercialize any products we develop; and</w:t>
      </w:r>
    </w:p>
    <w:p>
      <w:pPr>
        <w:ind w:left="720" w:hanging="360"/>
        <w:spacing w:after="0"/>
        <w:tabs>
          <w:tab w:leader="none" w:pos="72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a decline in our share price.</w:t>
      </w:r>
    </w:p>
    <w:p>
      <w:pPr>
        <w:ind w:left="720" w:right="220" w:hanging="360"/>
        <w:spacing w:after="0" w:line="239" w:lineRule="auto"/>
        <w:tabs>
          <w:tab w:leader="none" w:pos="72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Our inability to obtain and maintain sufficient product liability insurance at an acceptable cost and scope of coverage to protect against potential product liability claims could prevent or inhibit the commercialization of ABP-450. We currently carry product liability insurance covering our clinical studies.</w:t>
      </w:r>
    </w:p>
    <w:p>
      <w:pPr>
        <w:spacing w:after="0" w:line="205"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color w:val="auto"/>
        </w:rPr>
        <w:t>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If and when we obtain approval for marketing ABP-450, we intend to expand our insurance coverage to include the sale of ABP-450; however, we may be unable to obtain this liability insurance on commercially reasonable terms.</w:t>
      </w:r>
    </w:p>
    <w:p>
      <w:pPr>
        <w:spacing w:after="0" w:line="20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attract and keep senior management and key scientific personnel, we may be unable to successfully develop ABP-450, conduct our clinical studies and commercialize ABP-450.</w:t>
      </w:r>
    </w:p>
    <w:p>
      <w:pPr>
        <w:spacing w:after="0" w:line="165"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Our success depends in part on our continued ability to attract, retain and motivate highly qualified management. We believe that our future success is highly dependent upon the contributions of our senior management, particularly Robert Bancroft, our Chief Executive Officer, as well as other members of our senior management team. The loss of services of any of these individuals could delay or prevent the successful development of our product pipeline, completion of our planned clinical studies or the commercialization of ABP-450 or any future products we develop.</w:t>
      </w:r>
    </w:p>
    <w:p>
      <w:pPr>
        <w:spacing w:after="0" w:line="197"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In addition, we could experience difficulties attracting and retaining qualified employees in the future. For example, competition for qualified personnel in the pharmaceuticals field is intense due to the limited number of individuals who possess the skills and experience required by our industry.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197"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involves the use of hazardous materials, and we and our third-party manufacturer and supplier must comply with environmental laws and regulations, which can be expensive and restrict how we do business.</w:t>
      </w:r>
    </w:p>
    <w:p>
      <w:pPr>
        <w:sectPr>
          <w:pgSz w:w="11880" w:h="15480" w:orient="portrait"/>
          <w:cols w:equalWidth="0" w:num="1">
            <w:col w:w="10700"/>
          </w:cols>
          <w:pgMar w:left="540" w:top="1349"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700"/>
          </w:cols>
          <w:pgMar w:left="540" w:top="1349" w:right="640" w:bottom="0" w:gutter="0" w:footer="0" w:header="0"/>
          <w:type w:val="continuous"/>
        </w:sectPr>
      </w:pPr>
    </w:p>
    <w:bookmarkStart w:id="42" w:name="page43"/>
    <w:bookmarkEnd w:id="42"/>
    <w:p>
      <w:pPr>
        <w:ind w:right="20" w:firstLine="361"/>
        <w:spacing w:after="0" w:line="243" w:lineRule="auto"/>
        <w:rPr>
          <w:sz w:val="20"/>
          <w:szCs w:val="20"/>
          <w:color w:val="auto"/>
        </w:rPr>
      </w:pPr>
      <w:r>
        <w:rPr>
          <w:rFonts w:ascii="Times New Roman" w:cs="Times New Roman" w:eastAsia="Times New Roman" w:hAnsi="Times New Roman"/>
          <w:sz w:val="20"/>
          <w:szCs w:val="20"/>
          <w:color w:val="auto"/>
        </w:rPr>
        <w:t>Our R&amp;D and manufacturing activities in the future may, and Daewoong’s manufacturing and supplying activities presently do, involve the controlled storage, use and disposal of hazardous materials, including botulinum toxin type-A, a key component of ABP-450, and other hazardous compounds. We and Daewoong are subject to laws and regulations governing the use, manufacture, storage, handling and disposal of these hazardous materials. In some cases, these hazardous materials and various wastes resulting from their use are stored at Daewoong’s facilities pending their use and disposal. We and Daewoong cannot eliminate the risk of contamination, which could cause an interruption of Daewoong’s manufacturing processes, our commercialization efforts or our business operations and could cause environmental damage resulting in costly clean -up and liabilities under applicable laws and regulations governing the use, storage, handling and disposal of these materials and specified waste products. Although we believe that the safety procedures utilized by Daewoong for handling and disposing of these materials generally comply with the standards prescribed by these laws and regulations, this may not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 interrupt our business operations. Furthermore, environmental laws and regulations are complex, change frequently and have tended to become more stringent.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carryforwards and certain other tax attributes may be limited.</w:t>
      </w:r>
    </w:p>
    <w:p>
      <w:pPr>
        <w:spacing w:after="0" w:line="239"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Under Sections 382 and 383 of the Code, if a corporation undergoes an “ownership change,” generally defined as a greater than 50 percentage point change (by value) in its equity ownership by one or more 5% shareholders over a rolling three-year period, the corporation’s ability to use its pre-change net operating loss carryforwards, or NOLs, and other pre-change tax attributes, such as research tax credits, to offset its post- change taxable income or income tax liabilities, as applicable, may be limited. As of December 31, 2025 and 2024, the Company had federal net operating loss (“NOL”) carryforwards of $140.5 million and $112.1 million, respectively, which will begin to expire in 2036. The Company had state NOLs of $141.1 million and $140.5 million as of December 31, 2025 and 2024, respectively, which will begin to expire in 2034. As of December 31, 2025 and 2024, the Company has federal R&amp;D credit carryforwards of $7.1 million and $6.9 million, respectively, which will begin to expire in 2039. As of December 31, 2025 and 2024, the Company also has California R&amp;D credit carryforwards of $5.2 million and $5.0 million, respectively, which have an indefinite carryforward period. We may experience ownership changes in the future as a result of subsequent shifts in our stock ownership. As a result, if we earn net taxable income, our ability to use our pre-change NOLs to offset federal taxable income may be subject to limitations, which could potentially result in increased future tax liability to us. Similar rules may apply under state tax laws. In addition, at the state level, there may be periods during which the use of NOLs is suspended or otherwise limited, which could accelerate or permanently increase state taxes owed.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laws may impact our future financial position and results of operations.</w:t>
      </w:r>
    </w:p>
    <w:p>
      <w:pPr>
        <w:spacing w:after="0" w:line="239"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New income, sales, use or other tax laws, statutes, rules, regulations or ordinances could be enacted at any time, or interpreted, changed, modified or applied adversely to us, any of which could adversely affect our business operations and financial performance. We are currently unable to predict whether such changes will occur and, if so, the ultimate impact on our business. To the extent that such changes have a negative impact on us or our suppliers, including as a result of related uncertainty, these changes may materially and adversely impact our business, financial condition, results of operations and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24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rely on the Daewoong Agreement to provide us exclusive rights to commercialize and distribute ABP-450 in certain territories. Any termination or loss of significant rights, including exclusivity, under the Daewoong Agreement would materially and adversely affect our development or commercialization of ABP-450.</w:t>
      </w:r>
    </w:p>
    <w:p>
      <w:pPr>
        <w:spacing w:after="0" w:line="184" w:lineRule="exact"/>
        <w:rPr>
          <w:sz w:val="20"/>
          <w:szCs w:val="20"/>
          <w:color w:val="auto"/>
        </w:rPr>
      </w:pPr>
    </w:p>
    <w:p>
      <w:pPr>
        <w:ind w:right="40" w:firstLine="361"/>
        <w:spacing w:after="0" w:line="244" w:lineRule="auto"/>
        <w:rPr>
          <w:sz w:val="20"/>
          <w:szCs w:val="20"/>
          <w:color w:val="auto"/>
        </w:rPr>
      </w:pPr>
      <w:r>
        <w:rPr>
          <w:rFonts w:ascii="Times New Roman" w:cs="Times New Roman" w:eastAsia="Times New Roman" w:hAnsi="Times New Roman"/>
          <w:sz w:val="20"/>
          <w:szCs w:val="20"/>
          <w:color w:val="auto"/>
        </w:rPr>
        <w:t>Pursuant to the Daewoong Agreement, we have secured an exclusive license from Daewoong, a South Korean pharmaceutical manufacturer, to import, distribute, promote, market, develop, offer for sale and otherwise commercialize and exploit ABP- 450 for therapeutic indications in certain territories including the United States, the European Union, the United Kingdom, Canada, Australia, Russia, Commonwealth of Independent States and South Africa. The Daewoong Agreement imposes on us obligations relating to exclusivity, territorial rights, development, regulatory approval, commercialization, payment, diligence, sublicensing, intellectual property protection and other matters. For example, we are obligated to use commercially reasonable efforts to obtain regulatory approval of ABP-450 and obtain from Daewoong all of our product supply requirements for ABP-450. In addition, under the Daewoong Agreement, we are required to submit our commercialization plan to a Joint Steering Committee, or JSC, comprised of an equal number of development and commercial representatives from Daewoong and us, for review and input.</w:t>
      </w:r>
    </w:p>
    <w:p>
      <w:pPr>
        <w:sectPr>
          <w:pgSz w:w="11880" w:h="15480" w:orient="portrait"/>
          <w:cols w:equalWidth="0" w:num="1">
            <w:col w:w="10740"/>
          </w:cols>
          <w:pgMar w:left="540" w:top="13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740"/>
          </w:cols>
          <w:pgMar w:left="540" w:top="1349" w:right="600" w:bottom="0" w:gutter="0" w:footer="0" w:header="0"/>
          <w:type w:val="continuous"/>
        </w:sectPr>
      </w:pPr>
    </w:p>
    <w:bookmarkStart w:id="43" w:name="page44"/>
    <w:bookmarkEnd w:id="43"/>
    <w:p>
      <w:pPr>
        <w:ind w:left="1" w:right="20" w:firstLine="360"/>
        <w:spacing w:after="0" w:line="247" w:lineRule="auto"/>
        <w:rPr>
          <w:sz w:val="20"/>
          <w:szCs w:val="20"/>
          <w:color w:val="auto"/>
        </w:rPr>
      </w:pPr>
      <w:r>
        <w:rPr>
          <w:rFonts w:ascii="Times New Roman" w:cs="Times New Roman" w:eastAsia="Times New Roman" w:hAnsi="Times New Roman"/>
          <w:sz w:val="20"/>
          <w:szCs w:val="20"/>
          <w:color w:val="auto"/>
        </w:rPr>
        <w:t>Although the Daewoong Agreement provides us with final decision-making power regarding the marketing, promotion, sale and/or distribution of ABP-450, any disagreement among the JSC would be referred to Daewoong’s and our respective senior management for resolution if the JSC is unable to reach a decision within thirty days, which may result in a delay in our ability to implement our commercialization plan or harm our working relationship with Daewoong. Further, under the Daewoong Agreement, we may not purchase, sell or distribute any injectable botulinum toxin that is launched in the covered territories after the effective date of the Daewoong Agreement other than ABP-450 in a covered territory or sell ABP-450 outside a covered territory.</w:t>
      </w:r>
    </w:p>
    <w:p>
      <w:pPr>
        <w:spacing w:after="0" w:line="200" w:lineRule="exact"/>
        <w:rPr>
          <w:sz w:val="20"/>
          <w:szCs w:val="20"/>
          <w:color w:val="auto"/>
        </w:rPr>
      </w:pPr>
    </w:p>
    <w:p>
      <w:pPr>
        <w:ind w:left="1" w:right="60" w:firstLine="361"/>
        <w:spacing w:after="0" w:line="255" w:lineRule="auto"/>
        <w:rPr>
          <w:sz w:val="20"/>
          <w:szCs w:val="20"/>
          <w:color w:val="auto"/>
        </w:rPr>
      </w:pPr>
      <w:r>
        <w:rPr>
          <w:rFonts w:ascii="Times New Roman" w:cs="Times New Roman" w:eastAsia="Times New Roman" w:hAnsi="Times New Roman"/>
          <w:sz w:val="19"/>
          <w:szCs w:val="19"/>
          <w:color w:val="auto"/>
        </w:rPr>
        <w:t>The initial term of the Daewoong Agreement will expire on the later of December 20, 2029 or the fifth anniversary of our receipt of approval from the relevant governmental authority necessary to market and sell ABP-450 in any of the aforementioned territories. The Daewoong Agreement will renew for unlimited additional three-year terms after the expiration of the initial term. We or Daewoong may terminate the Daewoong Agreement if the other party breaches any of its duties or obligations and such breach continues without cure for ninety days, or thirty days in the case of a payment default, or, if such breach is not capable of being cured, immediately by delivery of written notice. The Daewoong Agreement will terminate without notice upon our bankruptcy or insolvency or if we assign our business or the Daewoong Agreement in whole or in part for the benefit of creditors. On March 19, 2024, we entered into a Fourth Amendment to the Daewoong Agreement (the “Daewoong Agreement Amendment”) with Daewoong, which amends the Daewoong Agreement to provide that Daewoong may terminate the Daewoong Agreement if, over any six-month period, (a) we cease to commercialize ABP-450 in each of the territories specified in the License Agreement (as defined below) and</w:t>
      </w:r>
    </w:p>
    <w:p>
      <w:pPr>
        <w:spacing w:after="0" w:line="8" w:lineRule="exact"/>
        <w:rPr>
          <w:sz w:val="20"/>
          <w:szCs w:val="20"/>
          <w:color w:val="auto"/>
        </w:rPr>
      </w:pPr>
    </w:p>
    <w:p>
      <w:pPr>
        <w:ind w:left="1" w:right="60" w:hanging="1"/>
        <w:spacing w:after="0" w:line="241" w:lineRule="auto"/>
        <w:tabs>
          <w:tab w:leader="none" w:pos="2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cease to advance any clinical studies of ABP-450 in any such territories. The Daewoong Agreement Amendment also provides that, in the event that the License Agreement is terminated for the foregoing reasons, Daewoong will have the right to purchase all Know-How (as defined in the License Agreement) related to ABP-450 for a price of $1.00 (the “Termination Purchase Right”). The Termination Purchase Right will terminate and expire upon Daewoong’s sale of 50% of its common stock, including common stock held by its affiliates and common stock that would be issued upon an Automatic Conversion or Optional Conversion of the New Convertible Notes (as defined in the New Convertible Notes).</w:t>
      </w:r>
    </w:p>
    <w:p>
      <w:pPr>
        <w:spacing w:after="0" w:line="207" w:lineRule="exact"/>
        <w:rPr>
          <w:sz w:val="20"/>
          <w:szCs w:val="20"/>
          <w:color w:val="auto"/>
        </w:rPr>
      </w:pPr>
    </w:p>
    <w:p>
      <w:pPr>
        <w:ind w:left="1" w:firstLine="360"/>
        <w:spacing w:after="0" w:line="249" w:lineRule="auto"/>
        <w:rPr>
          <w:sz w:val="20"/>
          <w:szCs w:val="20"/>
          <w:color w:val="auto"/>
        </w:rPr>
      </w:pPr>
      <w:r>
        <w:rPr>
          <w:rFonts w:ascii="Times New Roman" w:cs="Times New Roman" w:eastAsia="Times New Roman" w:hAnsi="Times New Roman"/>
          <w:sz w:val="20"/>
          <w:szCs w:val="20"/>
          <w:color w:val="auto"/>
        </w:rPr>
        <w:t>We will be the sole owner of any marketing authorization we pursue related to therapeutic indications of ABP-450 in a covered territory. This will include ownership of any BLA that we may submit to the FDA, MAA that we may submit to the EMA, NDS that we may submit to Health Canada, and any other approvals that we may receive in a covered territory. However, if we do not renew the Daewoong Agreement following any initial or renewal term, or if Daewoong terminates the Daewoong Agreement due to a breach by us, we are obligated to transfer our rights in such marketing authorizations to Daewoong.</w:t>
      </w:r>
    </w:p>
    <w:p>
      <w:pPr>
        <w:spacing w:after="0" w:line="1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If we breach any material obligations, or use the intellectual property licensed to us in an unauthorized manner, we may be</w:t>
      </w:r>
    </w:p>
    <w:p>
      <w:pPr>
        <w:spacing w:after="0" w:line="28" w:lineRule="exact"/>
        <w:rPr>
          <w:sz w:val="20"/>
          <w:szCs w:val="20"/>
          <w:color w:val="auto"/>
        </w:rPr>
      </w:pPr>
    </w:p>
    <w:p>
      <w:pPr>
        <w:ind w:left="1" w:right="20" w:firstLine="1"/>
        <w:spacing w:after="0" w:line="241" w:lineRule="auto"/>
        <w:rPr>
          <w:sz w:val="20"/>
          <w:szCs w:val="20"/>
          <w:color w:val="auto"/>
        </w:rPr>
      </w:pPr>
      <w:r>
        <w:rPr>
          <w:rFonts w:ascii="Times New Roman" w:cs="Times New Roman" w:eastAsia="Times New Roman" w:hAnsi="Times New Roman"/>
          <w:sz w:val="20"/>
          <w:szCs w:val="20"/>
          <w:color w:val="auto"/>
        </w:rPr>
        <w:t>required to pay damages to Daewoong and Daewoong may have the right to terminate our license. Any termination or loss of rights under the Daewoong Agreement would materially and adversely affect our ability to develop and commercialize ABP-450, which in turn would have a material adverse effect on our business, operating results and prospects. If we were to lose our rights under the Daewoong Agreement, we believe it would be difficult or impossible for us to find an alternative supplier of a botulinum toxin type-A complex. In addition, to the extent the alternative supplier has not secured regulatory approvals in a jurisdiction, we would have to expend significant resources, including performing additional clinical studies, to obtain regulatory approvals that may never be obtained or require several years to obtain, which could significantly delay commercialization. We may be unable to raise additional capital to fund our operations during this extended time on terms acceptable to us or at all. If we were to commercialize ABP-450 and later experience delays as a result of a dispute with Daewoong, the demand for ABP-450 could be materially and adversely affected.</w:t>
      </w:r>
    </w:p>
    <w:p>
      <w:pPr>
        <w:spacing w:after="0" w:line="203" w:lineRule="exact"/>
        <w:rPr>
          <w:sz w:val="20"/>
          <w:szCs w:val="20"/>
          <w:color w:val="auto"/>
        </w:rPr>
      </w:pPr>
    </w:p>
    <w:p>
      <w:pPr>
        <w:ind w:left="1" w:right="10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currently rely solely on Daewoong to manufacture ABP-450, and as such, any production or other problems with Daewoong could adversely affect us. The manufacture of biologics is complex and Daewoong may encounter difficulties in production that may impact our ability to provide supply of ABP-450 for clinical studies, our ability to obtain regulatory approval, or our ability to obtain commercial supply of our products, which, if approved, could be delayed or stopped.</w:t>
      </w:r>
    </w:p>
    <w:p>
      <w:pPr>
        <w:spacing w:after="0" w:line="189" w:lineRule="exact"/>
        <w:rPr>
          <w:sz w:val="20"/>
          <w:szCs w:val="20"/>
          <w:color w:val="auto"/>
        </w:rPr>
      </w:pPr>
    </w:p>
    <w:p>
      <w:pPr>
        <w:ind w:left="1" w:right="20" w:firstLine="360"/>
        <w:spacing w:after="0" w:line="259" w:lineRule="auto"/>
        <w:rPr>
          <w:sz w:val="20"/>
          <w:szCs w:val="20"/>
          <w:color w:val="auto"/>
        </w:rPr>
      </w:pPr>
      <w:r>
        <w:rPr>
          <w:rFonts w:ascii="Times New Roman" w:cs="Times New Roman" w:eastAsia="Times New Roman" w:hAnsi="Times New Roman"/>
          <w:sz w:val="19"/>
          <w:szCs w:val="19"/>
          <w:color w:val="auto"/>
        </w:rPr>
        <w:t>We have no experience in biologic manufacturing and do not own or operate, and we do not expect to own or operate, facilities for product manufacturing, storage and distribution, or testing. We depend solely upon Daewoong to manufacture ABP-450. Any failure or refusal by Daewoong to supply ABP-450 could delay, prevent or impair our clinical development or commercialization efforts. The Daewoong Agreement also provides for a fixed price related to the supply of ABP-450 for ten years or for five years after the receipt of regulatory approvals, and if a change in price were to occur, it could impair our ability to obtain necessary quantities of ABP-450. Although alternative sources of supply may exist, the number of third-party suppliers with the necessary manufacturing and regulatory expertise and facilities is limited, and it could be expensive and take a significant amount of time to arrange for alternative suppliers, which could have a material adverse effect on our business. New suppliers of any product candidate would be required to qualify under applicable regulatory requirements and would need to have sufficient rights under applicable intellectual property laws</w:t>
      </w:r>
    </w:p>
    <w:p>
      <w:pPr>
        <w:sectPr>
          <w:pgSz w:w="11880" w:h="15480" w:orient="portrait"/>
          <w:cols w:equalWidth="0" w:num="1">
            <w:col w:w="10781"/>
          </w:cols>
          <w:pgMar w:left="539" w:top="1349" w:right="56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781"/>
          </w:cols>
          <w:pgMar w:left="539" w:top="1349" w:right="560" w:bottom="0" w:gutter="0" w:footer="0" w:header="0"/>
          <w:type w:val="continuous"/>
        </w:sectPr>
      </w:pPr>
    </w:p>
    <w:bookmarkStart w:id="44" w:name="page45"/>
    <w:bookmarkEnd w:id="44"/>
    <w:p>
      <w:pPr>
        <w:ind w:firstLine="1"/>
        <w:spacing w:after="0" w:line="246" w:lineRule="auto"/>
        <w:rPr>
          <w:sz w:val="20"/>
          <w:szCs w:val="20"/>
          <w:color w:val="auto"/>
        </w:rPr>
      </w:pPr>
      <w:r>
        <w:rPr>
          <w:rFonts w:ascii="Times New Roman" w:cs="Times New Roman" w:eastAsia="Times New Roman" w:hAnsi="Times New Roman"/>
          <w:sz w:val="20"/>
          <w:szCs w:val="20"/>
          <w:color w:val="auto"/>
        </w:rPr>
        <w:t>to the method of manufacturing the product candidate. Obtaining the necessary FDA approvals or other qualifications under applicable regulatory requirements and ensuring non- infringement of third-party intellectual property rights could result in a significant interruption of supply and could require the new manufacturer to bear significant additional costs which may be passed on to us. We will also need to verify, such as through a manufacturing comparability study, that any new contract manufacturing organization or manufacturing process will produce our product candidate according to the specifications previously submitted to the FDA or another regulatory authority. We may be unsuccessful in demonstrating the comparability of clinical suppliers which could require conducting additional clinical studies.</w:t>
      </w:r>
    </w:p>
    <w:p>
      <w:pPr>
        <w:spacing w:after="0" w:line="201" w:lineRule="exact"/>
        <w:rPr>
          <w:sz w:val="20"/>
          <w:szCs w:val="20"/>
          <w:color w:val="auto"/>
        </w:rPr>
      </w:pPr>
    </w:p>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In addition, there are risks associated with large scale manufacturing for clinical studies or commercial scale including, among others, cost overruns, potential problems with process scale- up, process reproducibility, stability issues, compliance with cGMP, lot consistency and timely availability of raw materials. Even if we obtain regulatory approval for ABP-450, there is no assurance that Daewoong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Daewoong is unable to produce sufficient quantities for clinical studies, including preclinical studies, or for commercialization, our development and commercialization efforts would be impaired, which would have an adverse effect on our business, financial condition, results of operations and growth prospects.</w:t>
      </w:r>
    </w:p>
    <w:p>
      <w:pPr>
        <w:spacing w:after="0" w:line="202" w:lineRule="exact"/>
        <w:rPr>
          <w:sz w:val="20"/>
          <w:szCs w:val="20"/>
          <w:color w:val="auto"/>
        </w:rPr>
      </w:pPr>
    </w:p>
    <w:p>
      <w:pPr>
        <w:ind w:right="100" w:firstLine="361"/>
        <w:spacing w:after="0" w:line="243" w:lineRule="auto"/>
        <w:rPr>
          <w:sz w:val="20"/>
          <w:szCs w:val="20"/>
          <w:color w:val="auto"/>
        </w:rPr>
      </w:pPr>
      <w:r>
        <w:rPr>
          <w:rFonts w:ascii="Times New Roman" w:cs="Times New Roman" w:eastAsia="Times New Roman" w:hAnsi="Times New Roman"/>
          <w:sz w:val="20"/>
          <w:szCs w:val="20"/>
          <w:color w:val="auto"/>
        </w:rPr>
        <w:t>Our reliance on Daewoong entails additional risks, including reliance on Daewoong for regulatory compliance and quality assurance, the possible breach of the Daewoong Agreement by Daewoong, and the possible termination or nonrenewal of the Daewoong Agreement at a time that is costly or inconvenient for us. Our failure, or the failure of Daewoong, to comply with applicable regulations, such as cGMP, which includes, among other things, quality control, quality assurance and the maintenance of records and documentation, could result in sanctions being imposed on us, including clinical holds, fines, injunctions, civil penalties, delays, suspension or withdrawal of approvals, license revocation, seizures or recalls of the product candidate or drugs, import alerts or detentions preventing import of product into the United States or other territories, operating restrictions and criminal prosecutions, any of which could significantly and adversely affect supplies of ABP-450. Our dependence on Daewoong also subjects us to all of the risks related to Daewoong’s business, which are all generally beyond our control. Daewoong’s ability to perform its obligations under the Daewoong Agreement is dependent on its operational and financial health, which could be negatively impacted by several factors, including changes in the economic, political and legislative conditions in South Korea and the broader region in general and the ability of Daewoong to continue to successfully attract customers and compete in its market. Daewoong’s lack of familiarity with, or inability to effectively operate, the facility and produce products of consistent quality, may harm our ability to compete in our market.</w:t>
      </w:r>
    </w:p>
    <w:p>
      <w:pPr>
        <w:spacing w:after="0" w:line="200" w:lineRule="exact"/>
        <w:rPr>
          <w:sz w:val="20"/>
          <w:szCs w:val="20"/>
          <w:color w:val="auto"/>
        </w:rPr>
      </w:pPr>
    </w:p>
    <w:p>
      <w:pPr>
        <w:ind w:right="20" w:firstLine="361"/>
        <w:spacing w:after="0" w:line="243" w:lineRule="auto"/>
        <w:rPr>
          <w:sz w:val="20"/>
          <w:szCs w:val="20"/>
          <w:color w:val="auto"/>
        </w:rPr>
      </w:pPr>
      <w:r>
        <w:rPr>
          <w:rFonts w:ascii="Times New Roman" w:cs="Times New Roman" w:eastAsia="Times New Roman" w:hAnsi="Times New Roman"/>
          <w:sz w:val="20"/>
          <w:szCs w:val="20"/>
          <w:color w:val="auto"/>
        </w:rPr>
        <w:t>In addition, we are ultimately responsible for distribution of products under any authorization or approval we hold to investigate or market ABP-450. We do not own a manufacturing facility and we have never supervised manufacturing operations, but we have regulatory obligations to review batch records and release of the investigational product for our clinical studies. Further, we will have similar regulatory obligations if the product is marketed and could be held responsible for any distribution of adulterated or misbranded ABP-450, even if caused by Daewoong’s noncompliance. If Daewoong’s facility were to be damaged, destroyed or otherwise unable to operate or comply with regulatory requirements, whether due to earthquakes, fire, floods, hurricanes, storms, tornadoes, other natural disasters, employee malfeasance, terrorist acts, political unrest, power outages or otherwise, or if operations at the facility were disrupted for any other reason, such an event could negatively affect our ongoing preclinical studies and clinical studies and, if ABP-450 is approved, jeopardize Daewoong’s ability to manufacture ABP-450 as promptly as we or our customers expect or possibly at all. If an event occurred that prevented Daewoong from using all or a significant portion of its manufacturing facility due to damaged critical infrastructure, or that otherwise disrupted operations, it may be difficult or, in certain cases, impossible for Daewoong to supply enough ABP- 450 to continue our business for a substantial period of time.</w:t>
      </w:r>
    </w:p>
    <w:p>
      <w:pPr>
        <w:spacing w:after="0" w:line="204"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 material breach by us of the terms of our license and settlement agreement with Medytox, Inc. could have a material adverse effect on our business.</w:t>
      </w:r>
    </w:p>
    <w:p>
      <w:pPr>
        <w:spacing w:after="0" w:line="167" w:lineRule="exact"/>
        <w:rPr>
          <w:sz w:val="20"/>
          <w:szCs w:val="20"/>
          <w:color w:val="auto"/>
        </w:rPr>
      </w:pPr>
    </w:p>
    <w:p>
      <w:pPr>
        <w:ind w:right="280" w:firstLine="360"/>
        <w:spacing w:after="0" w:line="263" w:lineRule="auto"/>
        <w:rPr>
          <w:sz w:val="20"/>
          <w:szCs w:val="20"/>
          <w:color w:val="auto"/>
        </w:rPr>
      </w:pPr>
      <w:r>
        <w:rPr>
          <w:rFonts w:ascii="Times New Roman" w:cs="Times New Roman" w:eastAsia="Times New Roman" w:hAnsi="Times New Roman"/>
          <w:sz w:val="19"/>
          <w:szCs w:val="19"/>
          <w:color w:val="auto"/>
        </w:rPr>
        <w:t>In May 2021, Medytox, Inc., or Medytox, brought a case against Old AEON in the United States District Court for the Central District of California, or the Medytox Litigation, alleging, among other things, that Daewoong stole Medytox’s botulinum toxin bacterial strain, or the BTX strain, and misappropriated certain trade secrets of Medytox, including the process used to manufacture ABP-450 using the BTX strain, and that our and Daewoong’s activities conducted in the United States gave rise to liability for misappropriation of trade secrets. Medytox sought, among other things, (i) actual, consequential and punitive damages, (ii) a reasonable royalty, as appropriate, (iii) disgorgement of any proceeds or profits, (iv) injunctive relief prohibiting us from using</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800"/>
          </w:cols>
          <w:pgMar w:left="540" w:top="1349" w:right="540" w:bottom="0" w:gutter="0" w:footer="0" w:header="0"/>
          <w:type w:val="continuous"/>
        </w:sectPr>
      </w:pPr>
    </w:p>
    <w:bookmarkStart w:id="45" w:name="page46"/>
    <w:bookmarkEnd w:id="45"/>
    <w:p>
      <w:pPr>
        <w:ind w:left="1" w:right="340"/>
        <w:spacing w:after="0" w:line="278" w:lineRule="auto"/>
        <w:rPr>
          <w:sz w:val="20"/>
          <w:szCs w:val="20"/>
          <w:color w:val="auto"/>
        </w:rPr>
      </w:pPr>
      <w:r>
        <w:rPr>
          <w:rFonts w:ascii="Times New Roman" w:cs="Times New Roman" w:eastAsia="Times New Roman" w:hAnsi="Times New Roman"/>
          <w:sz w:val="20"/>
          <w:szCs w:val="20"/>
          <w:color w:val="auto"/>
        </w:rPr>
        <w:t>Medytox’s trade secrets to manufacture, offer to sell, or sell therapeutic BTX products, including ABP-450, and (v) attorneys’ fees and costs.</w:t>
      </w:r>
    </w:p>
    <w:p>
      <w:pPr>
        <w:spacing w:after="0" w:line="168" w:lineRule="exact"/>
        <w:rPr>
          <w:sz w:val="20"/>
          <w:szCs w:val="20"/>
          <w:color w:val="auto"/>
        </w:rPr>
      </w:pPr>
    </w:p>
    <w:p>
      <w:pPr>
        <w:ind w:left="1" w:right="40" w:firstLine="361"/>
        <w:spacing w:after="0" w:line="243" w:lineRule="auto"/>
        <w:rPr>
          <w:sz w:val="20"/>
          <w:szCs w:val="20"/>
          <w:color w:val="auto"/>
        </w:rPr>
      </w:pPr>
      <w:r>
        <w:rPr>
          <w:rFonts w:ascii="Times New Roman" w:cs="Times New Roman" w:eastAsia="Times New Roman" w:hAnsi="Times New Roman"/>
          <w:sz w:val="20"/>
          <w:szCs w:val="20"/>
          <w:color w:val="auto"/>
        </w:rPr>
        <w:t>The Medytox Litigation was another step in an ongoing dispute involving Medytox and Allergan, on the one side, and Evolus, Daewoong and us on the other side. In June 2017, Medytox brought a civil lawsuit of a similar nature against Evolus, Daewoong and Old AEON in the Superior Court of the State of California, which we refer to as the Superior Court Litigation, and a separate lawsuit in October 2017 against Daewoong in South Korea, which we refer to as the Korea Litigation. The lawsuit filed in the Superior Court of the State of California alleged claims substantially similar to the Medytox Litigation and was subsequently stayed on grounds of forum non conveniens, because the underlying facts that gave rise to the complaint occurred in South Korea, among other reasons. We are not a party to the Korea Litigation. In April 2018, the Superior Court of the State of California dismissed Medytox’s suit against Daewoong without prejudice on the basis that Medytox had brought a substantially similar proceeding against Daewoong in South Korea, and continued a stay of the case as to us and Evolus. In February 2021, the Superior Court of the State of California dismissed Medytox’s suit against Old AEON without prejudice, following Medytox’s filing of a notice of settlement of the case based on a settlement it entered with Evolus.</w:t>
      </w:r>
    </w:p>
    <w:p>
      <w:pPr>
        <w:spacing w:after="0" w:line="209" w:lineRule="exact"/>
        <w:rPr>
          <w:sz w:val="20"/>
          <w:szCs w:val="20"/>
          <w:color w:val="auto"/>
        </w:rPr>
      </w:pPr>
    </w:p>
    <w:p>
      <w:pPr>
        <w:ind w:left="1" w:firstLine="361"/>
        <w:spacing w:after="0" w:line="244" w:lineRule="auto"/>
        <w:rPr>
          <w:sz w:val="20"/>
          <w:szCs w:val="20"/>
          <w:color w:val="auto"/>
        </w:rPr>
      </w:pPr>
      <w:r>
        <w:rPr>
          <w:rFonts w:ascii="Times New Roman" w:cs="Times New Roman" w:eastAsia="Times New Roman" w:hAnsi="Times New Roman"/>
          <w:sz w:val="20"/>
          <w:szCs w:val="20"/>
          <w:color w:val="auto"/>
        </w:rPr>
        <w:t>Additionally, in January 2019, Allergan and Medytox filed a complaint against Daewoong and Evolus with the United States International Trade Commission, or the United States ITC, alleging that the BTX strain used in Evolus’ Jeuveau® product is manufactured based on misappropriated trade secrets of Medytox and therefore its importation is an unfair act. The Administrative Law Judge issued a final determination in December 2020. The final determination concluded that a violation of Section 337 of the Tariff Act of 1930 had occurred, and the United States ITC issued a limited exclusion order forbidding entry of Jeuveau® into the United States for 21 months and a cease and desist order prohibiting Daewoong and Evolus from engaging in the importations, sale for importation, marketing, distribution, offering for sale, the sale after the importation of, or other transfers of Jeuveau® within the United States for 21 months. The 21-month ban was stayed as a result of a settlement agreement between Evolus and Medytox in February 2021.</w:t>
      </w:r>
    </w:p>
    <w:p>
      <w:pPr>
        <w:spacing w:after="0" w:line="206" w:lineRule="exact"/>
        <w:rPr>
          <w:sz w:val="20"/>
          <w:szCs w:val="20"/>
          <w:color w:val="auto"/>
        </w:rPr>
      </w:pPr>
    </w:p>
    <w:p>
      <w:pPr>
        <w:ind w:left="1" w:right="280" w:firstLine="360"/>
        <w:spacing w:after="0" w:line="267" w:lineRule="auto"/>
        <w:rPr>
          <w:sz w:val="20"/>
          <w:szCs w:val="20"/>
          <w:color w:val="auto"/>
        </w:rPr>
      </w:pPr>
      <w:r>
        <w:rPr>
          <w:rFonts w:ascii="Times New Roman" w:cs="Times New Roman" w:eastAsia="Times New Roman" w:hAnsi="Times New Roman"/>
          <w:sz w:val="19"/>
          <w:szCs w:val="19"/>
          <w:color w:val="auto"/>
        </w:rPr>
        <w:t>Effective June 21, 2021, Old AEON entered into a settlement and license agreement with Medytox, or the Medytox Settlement Agreement, pursuant to which, among other things, Medytox agreed (a) to dismiss all claims against us in the Medytox Litigation,</w:t>
      </w:r>
    </w:p>
    <w:p>
      <w:pPr>
        <w:spacing w:after="0" w:line="2" w:lineRule="exact"/>
        <w:rPr>
          <w:sz w:val="20"/>
          <w:szCs w:val="20"/>
          <w:color w:val="auto"/>
        </w:rPr>
      </w:pPr>
    </w:p>
    <w:p>
      <w:pPr>
        <w:ind w:left="1" w:right="20" w:hanging="1"/>
        <w:spacing w:after="0" w:line="241" w:lineRule="auto"/>
        <w:tabs>
          <w:tab w:leader="none" w:pos="28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pursue dismissal of the appeals related to the December 2020 final determination of the United States ITC and agreed that as a result of such dismissal the final determination would be vacated, (c) to file appropriate documents in the Korea Litigation and related actions in support of the terms of the settlement, and (d) not to revive or otherwise pursue the Superior Court Litigation with respect to us. In addition, Medytox granted us a non-exclusive, royalty bearing license to Medytox’s botulinum toxin strain and specific trade secrets alleged to have been misappropriated in the litigation to commercialize and manufacture specific botulinum neurotoxin products including ABP-450 worldwide, with the exception of South Korea. In exchange for the license, we issued Medytox 26,680,511 shares of Old AEON common stock, par value $0.0001 per share, and agreed to pay Medytox single-digit royalties on the net sales of licensed products for 15 years following our first $1.0 million in commercial sales of neurotoxin products.</w:t>
      </w:r>
    </w:p>
    <w:p>
      <w:pPr>
        <w:spacing w:after="0" w:line="204" w:lineRule="exact"/>
        <w:rPr>
          <w:sz w:val="20"/>
          <w:szCs w:val="20"/>
          <w:color w:val="auto"/>
        </w:rPr>
      </w:pPr>
    </w:p>
    <w:p>
      <w:pPr>
        <w:ind w:left="1" w:right="80" w:firstLine="360"/>
        <w:spacing w:after="0" w:line="243" w:lineRule="auto"/>
        <w:rPr>
          <w:sz w:val="20"/>
          <w:szCs w:val="20"/>
          <w:color w:val="auto"/>
        </w:rPr>
      </w:pPr>
      <w:r>
        <w:rPr>
          <w:rFonts w:ascii="Times New Roman" w:cs="Times New Roman" w:eastAsia="Times New Roman" w:hAnsi="Times New Roman"/>
          <w:sz w:val="20"/>
          <w:szCs w:val="20"/>
          <w:color w:val="auto"/>
        </w:rPr>
        <w:t>Medytox can terminate the Medytox Settlement Agreement if we materially breach any material provision of the agreement, either immediately upon written notice if the breach is incurable or after 60 days if capable of remedy. Additionally, Medytox may terminate the Medytox Settlement Agreement with 15 days of written notice if we or our affiliates or sublicensees challenge the validity, enforceability, scope, or protected status of Medytox’s botulinum strain and specific trade secrets alleged to have been misappropriated in the litigation. If the Medytox Settlement Agreement were terminated, Medytox would be able to revive the Medytox Litigation and other claims against us, and may seek an injunction or other ruling against us in the Korea Litigation, any one of which could result in us losing access to ABP-450 and the manufacturing process and require us to negotiate a new license with Medytox for continued access to ABP-450. We may not be able to successfully negotiate such license on terms acceptable to us or at all. If we are unable to license ABP- 450, we may not be able to find a replacement product candidate on a timeline favorable to us, if at all, without expending significant resources and being required to seek additional regulatory approvals, which would be uncertain, time consuming and costly.</w:t>
      </w:r>
    </w:p>
    <w:p>
      <w:pPr>
        <w:spacing w:after="0" w:line="207" w:lineRule="exact"/>
        <w:rPr>
          <w:sz w:val="20"/>
          <w:szCs w:val="20"/>
          <w:color w:val="auto"/>
        </w:rPr>
      </w:pPr>
    </w:p>
    <w:p>
      <w:pPr>
        <w:ind w:left="1" w:right="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rely, and will continue to rely, on third parties, CROs and consultants to conduct all of our preclinical studies and clinical studies. If these third parties or consultants do not successfully carry out their contractual duties or meet expected deadlines, we may be unable to obtain regulatory approval for ABP-450.</w:t>
      </w:r>
    </w:p>
    <w:p>
      <w:pPr>
        <w:spacing w:after="0" w:line="186" w:lineRule="exact"/>
        <w:rPr>
          <w:sz w:val="20"/>
          <w:szCs w:val="20"/>
          <w:color w:val="auto"/>
        </w:rPr>
      </w:pPr>
    </w:p>
    <w:p>
      <w:pPr>
        <w:ind w:left="1" w:firstLine="360"/>
        <w:spacing w:after="0" w:line="259" w:lineRule="auto"/>
        <w:rPr>
          <w:sz w:val="20"/>
          <w:szCs w:val="20"/>
          <w:color w:val="auto"/>
        </w:rPr>
      </w:pPr>
      <w:r>
        <w:rPr>
          <w:rFonts w:ascii="Times New Roman" w:cs="Times New Roman" w:eastAsia="Times New Roman" w:hAnsi="Times New Roman"/>
          <w:sz w:val="20"/>
          <w:szCs w:val="20"/>
          <w:color w:val="auto"/>
        </w:rPr>
        <w:t>We do not currently have the ability to independently conduct any preclinical studies or clinical studies. We rely, and will continue to rely, on medical institutions, clinical investigators, contract laboratories, collaborative partners and other third parties, such as CROs, to conduct preclinical studies and clinical studies on ABP-450. The third parties with whom we currently or may in the</w:t>
      </w:r>
    </w:p>
    <w:p>
      <w:pPr>
        <w:sectPr>
          <w:pgSz w:w="11880" w:h="15480" w:orient="portrait"/>
          <w:cols w:equalWidth="0" w:num="1">
            <w:col w:w="10801"/>
          </w:cols>
          <w:pgMar w:left="539" w:top="1349" w:right="54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801"/>
          </w:cols>
          <w:pgMar w:left="539" w:top="1349" w:right="540" w:bottom="0" w:gutter="0" w:footer="0" w:header="0"/>
          <w:type w:val="continuous"/>
        </w:sectPr>
      </w:pPr>
    </w:p>
    <w:bookmarkStart w:id="46" w:name="page47"/>
    <w:bookmarkEnd w:id="46"/>
    <w:p>
      <w:pPr>
        <w:ind w:right="20" w:firstLine="1"/>
        <w:spacing w:after="0" w:line="242" w:lineRule="auto"/>
        <w:rPr>
          <w:sz w:val="20"/>
          <w:szCs w:val="20"/>
          <w:color w:val="auto"/>
        </w:rPr>
      </w:pPr>
      <w:r>
        <w:rPr>
          <w:rFonts w:ascii="Times New Roman" w:cs="Times New Roman" w:eastAsia="Times New Roman" w:hAnsi="Times New Roman"/>
          <w:sz w:val="20"/>
          <w:szCs w:val="20"/>
          <w:color w:val="auto"/>
        </w:rPr>
        <w:t>future contract for execution of any of our preclinical studies and clinical studies play a significant role in the conduct of these studies and the subsequent collection and analysis of data. However, these third parties are not our employees, and except for contractual duties and obligations, we have limited ability to control the amount or timing of resources that they devote to any of our current or future programs. Although we rely on these third parties to conduct our preclinical studies and clinical studies, we remain responsible for ensuring that each of our preclinical studies and clinical studies is conducted in accordance with the investigational plan and protocol. Moreover, the FDA and other similar regulatory authorities require us to observe both good laboratory practices, or GLP, and animal welfare requirements for preclinical studies, and to comply with GCPs for conducting, monitoring, recording and reporting the results of clinical studies to ensure that the data and results are scientifically credible and accurate, and that the study subjects are adequately informed of the potential risks of participating in clinical studies. Our reliance on CROs and other third parties does not relieve us of these regulatory and legal responsibilities. Regulatory authorities enforce GCPs through periodic inspections of trial sponsors, principal investigators and trial sites. If we or any of our CROs or trial sites fail to comply with applicable GLP, GCP or other requirements, the data generated in our clinical trials may be deemed unreliable, and the FDA or comparable foreign regulatory authorities may require us to perform additional clinical trials before approving our marketing applications, if ever. Furthermore, our clinical trials must be conducted with materials manufactured in accordance with cGMP regulations. Failure to comply with these regulations may require us to repeat clinical trials, which would delay the regulatory approval process.</w:t>
      </w:r>
    </w:p>
    <w:p>
      <w:pPr>
        <w:spacing w:after="0" w:line="212"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In addition, the execution of preclinical studies and clinical studies, and the subsequent compilation and analysis of the data produced, requires coordination among various parties. In order for these functions to be carried out effectively and efficiently, it is imperative that these parties communicate and coordinate with one another. Moreover, these third parties may also have relationships with other commercial entities, some of which may compete with us. If the third parties or consultants conducting our clinical studies do not perform their contractual duties or obligations, experience work stoppages, do not meet expected deadlines, terminate their agreements with us or need to be replaced, or if the quality or accuracy of the preclinical or clinical data they obtain is compromised due to the failure to adhere to GLPs, or our clinical study protocols or GCPs, or for any other reason, we may need to conduct additional clinical studies or enter into new arrangements with alternative third parties, which could be difficult, costly or impossible, and our preclinical studies and clinical studies may be extended, delayed or terminated or may need to be repeated. Further, any noncompliance that results in data integrity issues could put any regulatory approval we receive at risk of withdrawal, and could subject us to regulatory sanctions due to failure to adequately oversee the third parties we rely upon. If any of the foregoing were to occur, we may not be able to obtain, or may be delayed in obtaining, regulatory approval for and will not be able to, or may be delayed in our efforts to, successfully commercialize ABP-450.</w:t>
      </w:r>
    </w:p>
    <w:p>
      <w:pPr>
        <w:spacing w:after="0" w:line="204"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Public health outbreaks, epidemics or pandemics (such as the COVID-19 pandemic) may materially and adversely affect our business and operations.</w:t>
      </w:r>
    </w:p>
    <w:p>
      <w:pPr>
        <w:spacing w:after="0" w:line="167"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Actual or threatened public health outbreaks, epidemics or pandemics may in the future adversely affect, among other things, our research and development efforts, clinical trial operations, manufacturing and supply chain operations, administrative personnel, third-party service providers, and business partners.</w:t>
      </w:r>
    </w:p>
    <w:p>
      <w:pPr>
        <w:spacing w:after="0" w:line="187"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Economic and health conditions in the United States and across most of the globe continue to change rapidly and may materially affect us economically. While the potential economic impact brought by, and the duration of, public health outbreaks may be difficult to assess or predict, a continuing widespread pandemic could result in significant disruption of global financial markets, reducing our ability to access capital, which could in the future negatively affect our liquidity. In addition, a recession or market correction resulting from a future public health outbreak could materially affect our business and the value of our common stock. The ultimate impact of the outbreak is highly uncertain and subject to change. We do not yet know the full extent of potential delays or impacts on our business, our clinical trials, healthcare systems or the global economy as a whole. However, these effects could have a material adverse effect on our business, results of operations and financial condition.</w:t>
      </w:r>
    </w:p>
    <w:p>
      <w:pPr>
        <w:spacing w:after="0" w:line="202" w:lineRule="exact"/>
        <w:rPr>
          <w:sz w:val="20"/>
          <w:szCs w:val="20"/>
          <w:color w:val="auto"/>
        </w:rPr>
      </w:pPr>
    </w:p>
    <w:p>
      <w:pPr>
        <w:ind w:right="1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use third-party collaborators to help us develop, validate or commercialize any new products, and our ability to commercialize such products could be impaired or delayed if these collaborations are unsuccessful.</w:t>
      </w:r>
    </w:p>
    <w:p>
      <w:pPr>
        <w:spacing w:after="0" w:line="167"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20"/>
          <w:szCs w:val="20"/>
          <w:color w:val="auto"/>
        </w:rPr>
        <w:t>We may license or selectively pursue strategic collaborations for the development, validation and commercialization of ABP-450. In any third-party collaboration, we would be dependent upon the success of the collaborators in performing their responsibilities and their continued cooperation, and we would have limited control over the amount and timing of resources and effort that our collaborators would dedicate to the development or commercialization of our product candidates. Our collaborators may not cooperate with us or perform their obligations under our agreements with them at all or as expected. Our collaborators may choose to pursue alternative technologies in preference to those being developed in collaboration with us. The development, validation and</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800"/>
          </w:cols>
          <w:pgMar w:left="540" w:top="1349" w:right="540" w:bottom="0" w:gutter="0" w:footer="0" w:header="0"/>
          <w:type w:val="continuous"/>
        </w:sectPr>
      </w:pPr>
    </w:p>
    <w:bookmarkStart w:id="47" w:name="page48"/>
    <w:bookmarkEnd w:id="47"/>
    <w:p>
      <w:pPr>
        <w:ind w:right="20"/>
        <w:spacing w:after="0" w:line="247" w:lineRule="auto"/>
        <w:rPr>
          <w:sz w:val="20"/>
          <w:szCs w:val="20"/>
          <w:color w:val="auto"/>
        </w:rPr>
      </w:pPr>
      <w:r>
        <w:rPr>
          <w:rFonts w:ascii="Times New Roman" w:cs="Times New Roman" w:eastAsia="Times New Roman" w:hAnsi="Times New Roman"/>
          <w:sz w:val="20"/>
          <w:szCs w:val="20"/>
          <w:color w:val="auto"/>
        </w:rPr>
        <w:t>commercialization of our current and future product candidates may be delayed if collaborators fail to conduct their responsibilities in a timely manner or in accordance with applicable regulatory requirements or if they breach or terminate their collaboration agreements with us. Our collaborators could also independently develop, or develop with third parties, products that compete directly or indirectly with our product candidates, fail to properly maintain or defend our intellectual property rights or infringe the intellectual property rights of third parties, exposing us to litigation. Disputes with our collaborators could also impair our reputation or result in development and commercialization delays, decreased revenues and could cause litigation expenses.</w:t>
      </w:r>
    </w:p>
    <w:p>
      <w:pPr>
        <w:spacing w:after="0" w:line="200" w:lineRule="exact"/>
        <w:rPr>
          <w:sz w:val="20"/>
          <w:szCs w:val="20"/>
          <w:color w:val="auto"/>
        </w:rPr>
      </w:pPr>
    </w:p>
    <w:p>
      <w:pPr>
        <w:ind w:right="60" w:firstLine="361"/>
        <w:spacing w:after="0" w:line="244" w:lineRule="auto"/>
        <w:rPr>
          <w:sz w:val="20"/>
          <w:szCs w:val="20"/>
          <w:color w:val="auto"/>
        </w:rPr>
      </w:pPr>
      <w:r>
        <w:rPr>
          <w:rFonts w:ascii="Times New Roman" w:cs="Times New Roman" w:eastAsia="Times New Roman" w:hAnsi="Times New Roman"/>
          <w:sz w:val="20"/>
          <w:szCs w:val="20"/>
          <w:color w:val="auto"/>
        </w:rPr>
        <w:t>In addition, we may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studies, the likelihood of approval by the FDA or similar regulatory authorities outside the United States, the potential market for ABP-450 or our future product candidates, the costs and complexities of manufacturing and delivering ABP-450 or our future product candidates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that may be available to collaborate on and whether such a collaboration could be more attractive than the one with us for our product candidate. Collaborations are complex and time-consuming to negotiate and document.</w:t>
      </w:r>
    </w:p>
    <w:p>
      <w:pPr>
        <w:spacing w:after="0" w:line="203" w:lineRule="exact"/>
        <w:rPr>
          <w:sz w:val="20"/>
          <w:szCs w:val="20"/>
          <w:color w:val="auto"/>
        </w:rPr>
      </w:pPr>
    </w:p>
    <w:p>
      <w:pPr>
        <w:ind w:right="40" w:firstLine="361"/>
        <w:spacing w:after="0" w:line="246" w:lineRule="auto"/>
        <w:rPr>
          <w:sz w:val="20"/>
          <w:szCs w:val="20"/>
          <w:color w:val="auto"/>
        </w:rPr>
      </w:pPr>
      <w:r>
        <w:rPr>
          <w:rFonts w:ascii="Times New Roman" w:cs="Times New Roman" w:eastAsia="Times New Roman" w:hAnsi="Times New Roman"/>
          <w:sz w:val="20"/>
          <w:szCs w:val="20"/>
          <w:color w:val="auto"/>
        </w:rPr>
        <w:t>We may not be able to negotiate collaborations on a timely basis, on acceptable terms, or at all. If we are unable to do so, we may have to curtail the development of ABP-450 or our future product candidates, reduce or delay development programs, delay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and commercialize ABP-450 or our future product candidates or bring them to market and generate revenue.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24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or any of our current or future licensors, including Daewoong, are unable to maintain, obtain or protect intellectual property rights related to ABP-450 and any future product candidates we may develop, or if the scope of any protection obtained is not sufficiently broad, we may not be able to compete effectively in our market.</w:t>
      </w:r>
    </w:p>
    <w:p>
      <w:pPr>
        <w:spacing w:after="0" w:line="186"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Our success depends, in part, on our ability to seek, obtain and maintain intellectual property protection in the United States and other countries with respect to our technologies. We and Daewoong currently rely upon a combination of trademarks, trade secret protection, confidentiality agreements and proprietary know- how. Additionally, Daewoong has obtained a United States patent related to its proprietary botulinum toxin manufacturing process. We also intend to protect our proprietary technology and methods by, among other things, filing for and obtaining United States and foreign patent applications related to our proprietary technology, inventions, methods of use, and improvements that are important to the development and implementation of our business. However, due to existing patent eligibility laws, we do not expect to obtain patent protection for the composition of matter for botulinum toxin, as it is produced by Clostridium botulinum, a gram-positive, rod -shaped, anaerobic, spore-forming, motile bacterium with the ability to produce the botulinum toxin. Although we only own one issued patent covering our migraine injection paradigm (U.S. Patent</w:t>
      </w:r>
    </w:p>
    <w:p>
      <w:pPr>
        <w:spacing w:after="0" w:line="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No. 11,826,405), we do not own any other issued patents, but we have filed certain provisional and non-provisional patent applications with the United States Patent and Trademark Office, or USPTO, related to other novel and proprietary methods of utilizing ABP-450 for therapeutic purposes. These patent applications may fail to result in any issued patents with claims that cover ABP-450, in the United States or in other foreign countries, and the patents, if issued, may be declared invalid or unenforceable.</w:t>
      </w:r>
    </w:p>
    <w:p>
      <w:pPr>
        <w:spacing w:after="0" w:line="202" w:lineRule="exact"/>
        <w:rPr>
          <w:sz w:val="20"/>
          <w:szCs w:val="20"/>
          <w:color w:val="auto"/>
        </w:rPr>
      </w:pPr>
    </w:p>
    <w:p>
      <w:pPr>
        <w:ind w:right="60" w:firstLine="361"/>
        <w:spacing w:after="0" w:line="244" w:lineRule="auto"/>
        <w:rPr>
          <w:sz w:val="20"/>
          <w:szCs w:val="20"/>
          <w:color w:val="auto"/>
        </w:rPr>
      </w:pPr>
      <w:r>
        <w:rPr>
          <w:rFonts w:ascii="Times New Roman" w:cs="Times New Roman" w:eastAsia="Times New Roman" w:hAnsi="Times New Roman"/>
          <w:sz w:val="20"/>
          <w:szCs w:val="20"/>
          <w:color w:val="auto"/>
        </w:rPr>
        <w:t>The patent prosecution process is expensive, time-consuming and complex, and we may not be able to file, prosecute, maintain, enforce or license all necessary or desirable patent applications at a reasonable cost or in a timely manner. We may not be able to obtain or maintain patent applications and patents due to the subject matter claimed in such patent applications and patents being in disclosures in the public domain. In addition, it is possible that we will fail to identify patentable aspects of our R&amp;D output before it is too late to obtain patent protection. Although we enter into confidentiality agreements with parties who have access to confidential or patentable aspects of our R&amp;D output, such as our employees and third-party consultants, any of these parties may breach these agreements and disclose such output before a patent application is filed, thereby jeopardizing our ability to seek patent protection. Consequently, we may not be able to prevent any third party from using any of our technology that is in the public domain to compete with ABP-450 and any future product candidates.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800"/>
          </w:cols>
          <w:pgMar w:left="540" w:top="1349" w:right="540" w:bottom="0" w:gutter="0" w:footer="0" w:header="0"/>
          <w:type w:val="continuous"/>
        </w:sectPr>
      </w:pPr>
    </w:p>
    <w:bookmarkStart w:id="48" w:name="page49"/>
    <w:bookmarkEnd w:id="48"/>
    <w:p>
      <w:pPr>
        <w:ind w:firstLine="361"/>
        <w:spacing w:after="0" w:line="244" w:lineRule="auto"/>
        <w:rPr>
          <w:sz w:val="20"/>
          <w:szCs w:val="20"/>
          <w:color w:val="auto"/>
        </w:rPr>
      </w:pPr>
      <w:r>
        <w:rPr>
          <w:rFonts w:ascii="Times New Roman" w:cs="Times New Roman" w:eastAsia="Times New Roman" w:hAnsi="Times New Roman"/>
          <w:sz w:val="20"/>
          <w:szCs w:val="20"/>
          <w:color w:val="auto"/>
        </w:rPr>
        <w:t>Other parties have developed technologies that may be related to or competitive to our own technologies and such parties may have filed or may file patent applications, or may have obtained or may obtain patents, claiming inventions that may overlap or conflict with those claimed in our patent applications or any future issued patents. We may not be aware of all third-party intellectual property rights potentially relating to ABP-450 and any future product candidates.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pending patent applications were the first to make the inventions claimed in those patent applications, or that they were the first to file for patent protection of such inventions. If a third party can establish that we were not the first to make or the first to file for patent protection of such inventions, our patent applications may not issue and any patents, if issued, may be challenged and invalidated or rendered unenforceable.</w:t>
      </w:r>
    </w:p>
    <w:p>
      <w:pPr>
        <w:spacing w:after="0" w:line="203" w:lineRule="exact"/>
        <w:rPr>
          <w:sz w:val="20"/>
          <w:szCs w:val="20"/>
          <w:color w:val="auto"/>
        </w:rPr>
      </w:pPr>
    </w:p>
    <w:p>
      <w:pPr>
        <w:ind w:right="60" w:firstLine="361"/>
        <w:spacing w:after="0" w:line="242" w:lineRule="auto"/>
        <w:rPr>
          <w:sz w:val="20"/>
          <w:szCs w:val="20"/>
          <w:color w:val="auto"/>
        </w:rPr>
      </w:pPr>
      <w:r>
        <w:rPr>
          <w:rFonts w:ascii="Times New Roman" w:cs="Times New Roman" w:eastAsia="Times New Roman" w:hAnsi="Times New Roman"/>
          <w:sz w:val="20"/>
          <w:szCs w:val="20"/>
          <w:color w:val="auto"/>
        </w:rPr>
        <w:t>Even in the event our non-provisional patent applications are granted, or if we in-license issued patent rights from third parties, the issuance of a patent is not conclusive as to its inventorship, scope, validity or enforceability and any such patents may be challenged in courts or patent offices in the United States and abroad and later declared invalid or unenforceable. For example, we may be subject to a third-party submission of prior art to the USPTO challenging the validity of one or more claims of any such patents. A third party may also claim that any such patents are invalid or unenforceable in a litigation. The outcome following legal assertions of invalidity and unenforceability is unpredictable. An adverse result in any legal proceeding could put any such patents at risk of being invalidated or interpreted narrowly and could allow third parties to commercialize our products and compete directly with us, without payment to us, or result in our inability to manufacture or commercialize products without infringing third-party patent rights. In addition, we may become involved in derivation, reexamination, inter partes review, post-grant review or interference proceedings and other similar proceedings in foreign jurisdictions (e.g., opposition proceedings) challenging the validity, priority or other features of patentability of any such patent rights. Challenges to our patent rights may result in loss of patent rights, exclusivity, or in patent claims being narrowed, invalidated, or held unenforceable, in whole or in part, which could limit our ability to stop others from using or commercializing similar or identical technology and products, or limit the scope and duration of the patent protection of ABP-450 or future product candidates.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210" w:lineRule="exact"/>
        <w:rPr>
          <w:sz w:val="20"/>
          <w:szCs w:val="20"/>
          <w:color w:val="auto"/>
        </w:rPr>
      </w:pPr>
    </w:p>
    <w:p>
      <w:pPr>
        <w:ind w:right="60" w:firstLine="361"/>
        <w:spacing w:after="0" w:line="247" w:lineRule="auto"/>
        <w:rPr>
          <w:sz w:val="20"/>
          <w:szCs w:val="20"/>
          <w:color w:val="auto"/>
        </w:rPr>
      </w:pPr>
      <w:r>
        <w:rPr>
          <w:rFonts w:ascii="Times New Roman" w:cs="Times New Roman" w:eastAsia="Times New Roman" w:hAnsi="Times New Roman"/>
          <w:sz w:val="20"/>
          <w:szCs w:val="20"/>
          <w:color w:val="auto"/>
        </w:rPr>
        <w:t>Furthermore, patents have a limited lifespan. In the United States, the natural expiration of a patent is generally 20 years after it is filed. Various extensions may be available; however, the life of a patent, and the protection it affords, is limited. Given the amount of time required for the development, testing and regulatory review of botulinum toxins, patents protecting such product candidates might expire before or shortly after they are commercialized. As a result, our patent applications, even if issued, may not provide us with adequate and continuing patent protection sufficient to exclude others from commercializing products similar to ABP-450 or future product candidates, including biosimilar versions of such products.</w:t>
      </w:r>
    </w:p>
    <w:p>
      <w:pPr>
        <w:spacing w:after="0" w:line="200" w:lineRule="exact"/>
        <w:rPr>
          <w:sz w:val="20"/>
          <w:szCs w:val="20"/>
          <w:color w:val="auto"/>
        </w:rPr>
      </w:pPr>
    </w:p>
    <w:p>
      <w:pPr>
        <w:ind w:right="20" w:firstLine="360"/>
        <w:spacing w:after="0" w:line="247" w:lineRule="auto"/>
        <w:rPr>
          <w:sz w:val="20"/>
          <w:szCs w:val="20"/>
          <w:color w:val="auto"/>
        </w:rPr>
      </w:pPr>
      <w:r>
        <w:rPr>
          <w:rFonts w:ascii="Times New Roman" w:cs="Times New Roman" w:eastAsia="Times New Roman" w:hAnsi="Times New Roman"/>
          <w:sz w:val="20"/>
          <w:szCs w:val="20"/>
          <w:color w:val="auto"/>
        </w:rPr>
        <w:t>Even if they are unchallenged, our pending patent applications, if issued, may not provide us with any meaningful protection or prevent competitors from designing around our patent claims to circumvent our patents by developing similar or alternative technologies or therapeutics in a non-infringing manner. If the patent protection provided by our patent applications, if issued, is not sufficiently broad to impede such competition, our ability to successfully commercialize ABP-450 and future product candidates could be negatively affected, which could have a material adverse effect on our business, financial condition, results of operations and prospects.</w:t>
      </w:r>
    </w:p>
    <w:p>
      <w:pPr>
        <w:spacing w:after="0" w:line="200" w:lineRule="exact"/>
        <w:rPr>
          <w:sz w:val="20"/>
          <w:szCs w:val="20"/>
          <w:color w:val="auto"/>
        </w:rPr>
      </w:pPr>
    </w:p>
    <w:p>
      <w:pPr>
        <w:ind w:right="40" w:firstLine="360"/>
        <w:spacing w:after="0" w:line="244" w:lineRule="auto"/>
        <w:rPr>
          <w:sz w:val="20"/>
          <w:szCs w:val="20"/>
          <w:color w:val="auto"/>
        </w:rPr>
      </w:pPr>
      <w:r>
        <w:rPr>
          <w:rFonts w:ascii="Times New Roman" w:cs="Times New Roman" w:eastAsia="Times New Roman" w:hAnsi="Times New Roman"/>
          <w:sz w:val="20"/>
          <w:szCs w:val="20"/>
          <w:color w:val="auto"/>
        </w:rPr>
        <w:t>Under the Daewoong Agreement, we license the trademark for Nabota® associated with ABP- 450 from Daewoong; however, we may ultimately pursue alternative trademarks and branding for ABP-450. Our or Daewoong’s trade secrets and other confidential proprietary information and those of our future licensors could be disclosed or competitors could otherwise gain access to our trade secrets or independently develop substantially equivalent information and techniques. Further, the laws of some foreign countries do not protect proprietary rights to the same extent or in the same manner as the laws of the United States. As a result, we or any of our current or future licensors may encounter significant problems in protecting and defending our or their intellectual property both in the United States and internationally. If we or any of our current or future licensors are unable to prevent material disclosure of the non-patented intellectual property related to ABP-450 to third parties, we may not be able to establish or maintain a competitive advantage in our market, which could adversely affect our business.</w:t>
      </w:r>
    </w:p>
    <w:p>
      <w:pPr>
        <w:spacing w:after="0" w:line="204"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In addition to the protection afforded by patents, trademarks, confidentiality agreements and proprietary know-how, we may in the future rely upon in-licensed or acquired patents or proprietary technology for the development of ABP-450. We may not be able to in-license third party patents necessary to commercialize ABP-450 on commercially reasonable terms, or at all, which could</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800"/>
          </w:cols>
          <w:pgMar w:left="540" w:top="1349" w:right="540" w:bottom="0" w:gutter="0" w:footer="0" w:header="0"/>
          <w:type w:val="continuous"/>
        </w:sectPr>
      </w:pPr>
    </w:p>
    <w:bookmarkStart w:id="49" w:name="page50"/>
    <w:bookmarkEnd w:id="49"/>
    <w:p>
      <w:pPr>
        <w:ind w:firstLine="1"/>
        <w:spacing w:after="0" w:line="243" w:lineRule="auto"/>
        <w:rPr>
          <w:sz w:val="20"/>
          <w:szCs w:val="20"/>
          <w:color w:val="auto"/>
        </w:rPr>
      </w:pPr>
      <w:r>
        <w:rPr>
          <w:rFonts w:ascii="Times New Roman" w:cs="Times New Roman" w:eastAsia="Times New Roman" w:hAnsi="Times New Roman"/>
          <w:sz w:val="20"/>
          <w:szCs w:val="20"/>
          <w:color w:val="auto"/>
        </w:rPr>
        <w:t>materially harm our business.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or maintain the existing intellectual property rights we have licensed, we may be required to expend significant time and resources to redesign ABP-450 or future product candidates, or to develop or license replacement technology, all of which may not be feasible on a technical or commercial basis, and we may have to abandon development of ABP- 450 or future product candidates which could have a material adverse effect on our business, financial condition, results of operations and prospects.</w:t>
      </w:r>
    </w:p>
    <w:p>
      <w:pPr>
        <w:spacing w:after="0" w:line="204" w:lineRule="exact"/>
        <w:rPr>
          <w:sz w:val="20"/>
          <w:szCs w:val="20"/>
          <w:color w:val="auto"/>
        </w:rPr>
      </w:pPr>
    </w:p>
    <w:p>
      <w:pPr>
        <w:ind w:right="80" w:firstLine="361"/>
        <w:spacing w:after="0" w:line="247" w:lineRule="auto"/>
        <w:rPr>
          <w:sz w:val="20"/>
          <w:szCs w:val="20"/>
          <w:color w:val="auto"/>
        </w:rPr>
      </w:pPr>
      <w:r>
        <w:rPr>
          <w:rFonts w:ascii="Times New Roman" w:cs="Times New Roman" w:eastAsia="Times New Roman" w:hAnsi="Times New Roman"/>
          <w:sz w:val="20"/>
          <w:szCs w:val="20"/>
          <w:color w:val="auto"/>
        </w:rPr>
        <w:t>Additionally, the strength of any patents that issue from our non-provisional patent applications or that we may in-license from third parties in the technology and healthcare fields involves complex legal and factual questions and has, in recent years, been the subject of much litigation. As a result, the issuance, scope, validity, enforceability and commercial value of any patent rights in such fields can be uncertain. Our pending patent applications and any patent applications that we may in-license may fail to result in issued patents with claims that cover ABP-450, in the United States or in other foreign countries, and the issued patents that we may in-license may be declared invalid or unenforceable.</w:t>
      </w:r>
    </w:p>
    <w:p>
      <w:pPr>
        <w:spacing w:after="0" w:line="200" w:lineRule="exact"/>
        <w:rPr>
          <w:sz w:val="20"/>
          <w:szCs w:val="20"/>
          <w:color w:val="auto"/>
        </w:rPr>
      </w:pPr>
    </w:p>
    <w:p>
      <w:pPr>
        <w:ind w:right="160" w:firstLine="361"/>
        <w:spacing w:after="0" w:line="249" w:lineRule="auto"/>
        <w:rPr>
          <w:sz w:val="20"/>
          <w:szCs w:val="20"/>
          <w:color w:val="auto"/>
        </w:rPr>
      </w:pPr>
      <w:r>
        <w:rPr>
          <w:rFonts w:ascii="Times New Roman" w:cs="Times New Roman" w:eastAsia="Times New Roman" w:hAnsi="Times New Roman"/>
          <w:sz w:val="20"/>
          <w:szCs w:val="20"/>
          <w:color w:val="auto"/>
        </w:rPr>
        <w:t>We are reliant on the ability of Daewoong, as the licensor of our only product candidate, to maintain its intellectual property and protect its intellectual property against misappropriation, infringement or other violation. We may not have primary control over Daewoong’s or our future licensors’ patent prosecution activities. Furthermore, we may not be allowed to comment on prosecution strategies, and patent applications currently being prosecuted may be abandoned by the patent owner without our knowledge or consent.</w:t>
      </w:r>
    </w:p>
    <w:p>
      <w:pPr>
        <w:spacing w:after="0" w:line="197"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20"/>
          <w:szCs w:val="20"/>
          <w:color w:val="auto"/>
        </w:rPr>
        <w:t>With respect to patents that are issued to our licensors, or patents that may issue on patent applications, third parties may challenge their validity, enforceability or scope, which may result in such patents being narrowed or invalidated. As a licensee, we are reliant on Daewoong and our future licensors to defend any third-party claims. Our licensors may not defend or prosecute such actions as vigorously or in the manner that we would have if entitled to do so, and we may be impacted by any judgment or settlement resulting from such actions. Also, a third party may challenge the validity of our in-licensing transactions. Furthermore, even if they are unchallenged, any of our future in-licensed patents and patent applications may not adequately protect the licensors or our intellectual property or prevent others from designing around their or our claims.</w:t>
      </w:r>
    </w:p>
    <w:p>
      <w:pPr>
        <w:spacing w:after="0" w:line="199"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Third-party claims of intellectual property infringement, misappropriation or violation, or challenges related to the invalidity or unenforceability of any issued patents we may obtain or in-license may prevent or delay our development and commercialization efforts or otherwise adversely affect our results of operations.</w:t>
      </w:r>
    </w:p>
    <w:p>
      <w:pPr>
        <w:spacing w:after="0" w:line="186" w:lineRule="exact"/>
        <w:rPr>
          <w:sz w:val="20"/>
          <w:szCs w:val="20"/>
          <w:color w:val="auto"/>
        </w:rPr>
      </w:pPr>
    </w:p>
    <w:p>
      <w:pPr>
        <w:ind w:right="20" w:firstLine="360"/>
        <w:spacing w:after="0" w:line="243" w:lineRule="auto"/>
        <w:rPr>
          <w:sz w:val="20"/>
          <w:szCs w:val="20"/>
          <w:color w:val="auto"/>
        </w:rPr>
      </w:pPr>
      <w:r>
        <w:rPr>
          <w:rFonts w:ascii="Times New Roman" w:cs="Times New Roman" w:eastAsia="Times New Roman" w:hAnsi="Times New Roman"/>
          <w:sz w:val="20"/>
          <w:szCs w:val="20"/>
          <w:color w:val="auto"/>
        </w:rPr>
        <w:t>Our commercial success depends in part on our and any of our future collaborators avoiding infringement, misappropriation or other violation of the intellectual property and related proprietary rights of third parties. Competitors and other entities that possess intellectual property rights related to the use of botulinum toxins in the fields of neurology and gastroenterology have developed large portfolios of patents and patent applications in fields relating to our business. In particular, there are patents held by third parties that relate to the treatment with botulinum toxin-based products. There may also be patent applications that have been filed but not published that, when issued as patents, could be asserted against us. There is a substantial amount of litigation, both within and outside the United States, involving patent and other intellectual property rights in the technology, medical device and pharmaceutical industries, including patent infringement lawsuits, interferences, oppositions and inter partes reexamination proceedings before the USPTO. Numerous United States and foreign issued patents and pending patent applications, which are owned by third parties, exist in the fields in which we plan to develop ABP-450. As the technology, medical device and pharmaceutical industries expand and more patents are issued, the risk increases that our product candidate may be subject to claims of infringement of the patent rights of third parties, regardless of their merit.</w:t>
      </w:r>
    </w:p>
    <w:p>
      <w:pPr>
        <w:spacing w:after="0" w:line="205" w:lineRule="exact"/>
        <w:rPr>
          <w:sz w:val="20"/>
          <w:szCs w:val="20"/>
          <w:color w:val="auto"/>
        </w:rPr>
      </w:pPr>
    </w:p>
    <w:p>
      <w:pPr>
        <w:ind w:right="260" w:firstLine="360"/>
        <w:spacing w:after="0" w:line="268" w:lineRule="auto"/>
        <w:rPr>
          <w:sz w:val="20"/>
          <w:szCs w:val="20"/>
          <w:color w:val="auto"/>
        </w:rPr>
      </w:pPr>
      <w:r>
        <w:rPr>
          <w:rFonts w:ascii="Times New Roman" w:cs="Times New Roman" w:eastAsia="Times New Roman" w:hAnsi="Times New Roman"/>
          <w:sz w:val="19"/>
          <w:szCs w:val="19"/>
          <w:color w:val="auto"/>
        </w:rPr>
        <w:t>There may be third-party patents or patent applications with claims to materials, methods of manufacture or methods for treatment related to the use or manufacture of ABP-450. Because patent applications can take many years to issue, may be confidential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 months or more after filing and can be revised before issuance, there may be currently pending patent applications that may later result</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800"/>
          </w:cols>
          <w:pgMar w:left="540" w:top="1349" w:right="540" w:bottom="0" w:gutter="0" w:footer="0" w:header="0"/>
          <w:type w:val="continuous"/>
        </w:sectPr>
      </w:pPr>
    </w:p>
    <w:bookmarkStart w:id="50" w:name="page51"/>
    <w:bookmarkEnd w:id="50"/>
    <w:p>
      <w:pPr>
        <w:ind w:right="20" w:firstLine="1"/>
        <w:spacing w:after="0" w:line="242" w:lineRule="auto"/>
        <w:rPr>
          <w:sz w:val="20"/>
          <w:szCs w:val="20"/>
          <w:color w:val="auto"/>
        </w:rPr>
      </w:pPr>
      <w:r>
        <w:rPr>
          <w:rFonts w:ascii="Times New Roman" w:cs="Times New Roman" w:eastAsia="Times New Roman" w:hAnsi="Times New Roman"/>
          <w:sz w:val="20"/>
          <w:szCs w:val="20"/>
          <w:color w:val="auto"/>
        </w:rPr>
        <w:t>in issued patents that ABP-450 or any future product candidates may infringe. It is difficult for industry participants, including us, to identify all third-party patent rights that may be relevant to ABP-450 and future product candidates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or incorrectly conclude their invalidity or unenforceability. In addition, pending patent applications that have been published can, subject to certain limitations, be later amended in a manner that could cover ABP-450 or future product candidates and third parties may obtain patents in the future and claim that use of our technologies infringes upon these patents. Even if we believe claims brought against us are without merit, a court of competent jurisdiction could hold that these third-party patents are valid, enforceable and infringed.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or find that ABP-450 or future product candidates did not infringe any such claims. If any third-party patents were held by a court of competent jurisdiction to cover the manufacturing process of ABP-450, the holders of any such patents may be able to block our ability to commercialize ABP-450 unless we obtain a license under the applicable patents or until such patents expire. Similarly, if any third-party patent were held by a court of competent jurisdiction to cover aspects of our methods of use, the holders of any such patent may be able to block our ability to develop and commercialize ABP-450 unless we obtain a license or until such patent expires. In either case, such a license may not be available on commercially reasonable terms or at all.</w:t>
      </w:r>
    </w:p>
    <w:p>
      <w:pPr>
        <w:spacing w:after="0" w:line="207" w:lineRule="exact"/>
        <w:rPr>
          <w:sz w:val="20"/>
          <w:szCs w:val="20"/>
          <w:color w:val="auto"/>
        </w:rPr>
      </w:pPr>
    </w:p>
    <w:p>
      <w:pPr>
        <w:ind w:right="120" w:firstLine="361"/>
        <w:spacing w:after="0" w:line="243" w:lineRule="auto"/>
        <w:rPr>
          <w:sz w:val="20"/>
          <w:szCs w:val="20"/>
          <w:color w:val="auto"/>
        </w:rPr>
      </w:pPr>
      <w:r>
        <w:rPr>
          <w:rFonts w:ascii="Times New Roman" w:cs="Times New Roman" w:eastAsia="Times New Roman" w:hAnsi="Times New Roman"/>
          <w:sz w:val="20"/>
          <w:szCs w:val="20"/>
          <w:color w:val="auto"/>
        </w:rPr>
        <w:t>In addition to claims of patent infringement, third parties may bring claims against us asserting misappropriation or other violations of proprietary technology or other information in the development, manufacture and commercialization of ABP- 450. Defense of such a claim would require dedicated time and resources, which time and resources could otherwise be used by us toward the maintenance of our own intellectual property and the development and commercialization of ABP-450 or for operational upkeep and manufacturing of our product.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We have been, and may in the future become, party to, or be threatened with, adversarial proceedings or litigation where our competitors or other third parties may assert claims against us, alleging that our therapeutics, manufacturing methods, formulations, administration methods or delivery devices infringe, misappropriate or otherwise violate their intellectual property rights, including patents and trade secrets. For example, in the past, Medytox asserted that we and Daewoong were employing their proprietary technology without authorization, and other third parties may make similar assertions about us or any of our current or future licensors, including Daewoong, in the future. For more information regarding our litigation with Medytox, please see “</w:t>
      </w:r>
      <w:r>
        <w:rPr>
          <w:rFonts w:ascii="Times New Roman" w:cs="Times New Roman" w:eastAsia="Times New Roman" w:hAnsi="Times New Roman"/>
          <w:sz w:val="20"/>
          <w:szCs w:val="20"/>
          <w:i w:val="1"/>
          <w:iCs w:val="1"/>
          <w:color w:val="auto"/>
        </w:rPr>
        <w:t>Risk Factors — Risks Related to Our Reliance on Third Parties — A material breach by us of the terms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our license and settlement agreement with Medytox, Inc. could have a material adverse effect on our business.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20"/>
          <w:szCs w:val="20"/>
          <w:color w:val="auto"/>
        </w:rPr>
        <w:t>Likewise, any patents that may issue from our pending patent applications or any future in-licensed patents and pending patent applications may also be subject to priority, validity, inventorship and enforceability disputes in court or before administrative bodies in the United States or abroad. If we or any of our licensors are unsuccessful in any of these proceedings, such patents and patent applications may be narrowed, invalidated or held unenforceable, we may be required to obtain licenses from third parties, which may not be available on commercially reasonable terms or at all, or we may be required to cease the development, manufacture and commercialization of ABP-450 or future product candidates. Any of the foregoing could have a material adverse effect on our business, financial condition, results of operations and prospects.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Parties making claims against us or any of our current or future licensors may request and obtain injunctive or other equitable</w:t>
      </w:r>
    </w:p>
    <w:p>
      <w:pPr>
        <w:spacing w:after="0" w:line="25" w:lineRule="exact"/>
        <w:rPr>
          <w:sz w:val="20"/>
          <w:szCs w:val="20"/>
          <w:color w:val="auto"/>
        </w:rPr>
      </w:pPr>
    </w:p>
    <w:p>
      <w:pPr>
        <w:ind w:hanging="1"/>
        <w:spacing w:after="0" w:line="241" w:lineRule="auto"/>
        <w:rPr>
          <w:sz w:val="20"/>
          <w:szCs w:val="20"/>
          <w:color w:val="auto"/>
        </w:rPr>
      </w:pPr>
      <w:r>
        <w:rPr>
          <w:rFonts w:ascii="Times New Roman" w:cs="Times New Roman" w:eastAsia="Times New Roman" w:hAnsi="Times New Roman"/>
          <w:sz w:val="20"/>
          <w:szCs w:val="20"/>
          <w:color w:val="auto"/>
        </w:rPr>
        <w:t>relief, which could effectively block our ability to further develop and commercialize ABP-450. Defense of these claims, regardless of their merit, would involve substantial litigation expense and would be a substantial diversion of employee resources from our business which time and resources could otherwise be used by us toward the maintenance of our own intellectual property and the development and commercialization of ABP- 450 or for operational upkeep and manufacturing of our product. In the event of a successful claim of infringement, misappropriation or other violation of a third party’s intellectual property, we or any of our current or future licensors may have to pay substantial damages, including treble damages and attorneys’ fees for willful infringement, obtain one or more licenses from third parties which may not be commercially available, or pay royalties or redesign our infringing products or manufacturing processes, which may be impossible or require substantial time and monetary expenditure. Furthermore, even in the absence of litigation, we may need to obtain licenses from third parties to advance our research, manufacture clinical study supplies or allow commercialization of ABP-450. We may fail to obtain any of these licenses at a reasonable cost or on reasonable terms, if at all. In that event, we would be unable to further develop and commercialize ABP-450, which could harm our business significantly.</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780"/>
          </w:cols>
          <w:pgMar w:left="540" w:top="1349" w:right="560" w:bottom="0" w:gutter="0" w:footer="0" w:header="0"/>
          <w:type w:val="continuous"/>
        </w:sectPr>
      </w:pPr>
    </w:p>
    <w:bookmarkStart w:id="51" w:name="page52"/>
    <w:bookmarkEnd w:id="51"/>
    <w:p>
      <w:pPr>
        <w:ind w:right="160"/>
        <w:spacing w:after="0" w:line="278" w:lineRule="auto"/>
        <w:rPr>
          <w:sz w:val="20"/>
          <w:szCs w:val="20"/>
          <w:color w:val="auto"/>
        </w:rPr>
      </w:pPr>
      <w:r>
        <w:rPr>
          <w:rFonts w:ascii="Times New Roman" w:cs="Times New Roman" w:eastAsia="Times New Roman" w:hAnsi="Times New Roman"/>
          <w:sz w:val="20"/>
          <w:szCs w:val="20"/>
          <w:color w:val="auto"/>
        </w:rPr>
        <w:t>Similarly, third-party patents could exist that might be enforced against our products, resulting in either an injunction prohibiting our sales, or with respect to our sales, an obligation on our part to pay royalties and/or other forms of compensation to third parties.</w:t>
      </w:r>
    </w:p>
    <w:p>
      <w:pPr>
        <w:spacing w:after="0" w:line="168"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intellectual property or the patents and other intellectual property of our licensors, which could be expensive and time-consuming.</w:t>
      </w:r>
    </w:p>
    <w:p>
      <w:pPr>
        <w:spacing w:after="0" w:line="167" w:lineRule="exact"/>
        <w:rPr>
          <w:sz w:val="20"/>
          <w:szCs w:val="20"/>
          <w:color w:val="auto"/>
        </w:rPr>
      </w:pPr>
    </w:p>
    <w:p>
      <w:pPr>
        <w:ind w:right="60" w:firstLine="361"/>
        <w:spacing w:after="0" w:line="245" w:lineRule="auto"/>
        <w:rPr>
          <w:sz w:val="20"/>
          <w:szCs w:val="20"/>
          <w:color w:val="auto"/>
        </w:rPr>
      </w:pPr>
      <w:r>
        <w:rPr>
          <w:rFonts w:ascii="Times New Roman" w:cs="Times New Roman" w:eastAsia="Times New Roman" w:hAnsi="Times New Roman"/>
          <w:sz w:val="20"/>
          <w:szCs w:val="20"/>
          <w:color w:val="auto"/>
        </w:rPr>
        <w:t>Competitors may infringe our intellectual property, including any future patents we may acquire, or any future patents or other intellectual property licensed to us by our licensors, including Daewoong. As a result, we or any of our current or future licensors may be required to file infringement claims to stop third-party infringement or unauthorized use. Even if resolved in our favor, this can be unpredictable, expensive, particularly for a company of our size, and time-consuming and may cause us to incur significant expenses and distract our scientific and management personnel from their normal responsibilities. In addition, in an infringement proceeding, a court may decide that a patent of ours or any of our current or future licensors is not valid or is unenforceable, or may refuse to stop the other party from using the technology at issue on the grounds that our patent claims do not cover its technology or that the factors necessary to grant an injunction against an infringer are not satisfied.</w:t>
      </w:r>
    </w:p>
    <w:p>
      <w:pPr>
        <w:spacing w:after="0" w:line="202" w:lineRule="exact"/>
        <w:rPr>
          <w:sz w:val="20"/>
          <w:szCs w:val="20"/>
          <w:color w:val="auto"/>
        </w:rPr>
      </w:pPr>
    </w:p>
    <w:p>
      <w:pPr>
        <w:ind w:right="60" w:firstLine="361"/>
        <w:spacing w:after="0" w:line="260" w:lineRule="auto"/>
        <w:rPr>
          <w:sz w:val="20"/>
          <w:szCs w:val="20"/>
          <w:color w:val="auto"/>
        </w:rPr>
      </w:pPr>
      <w:r>
        <w:rPr>
          <w:rFonts w:ascii="Times New Roman" w:cs="Times New Roman" w:eastAsia="Times New Roman" w:hAnsi="Times New Roman"/>
          <w:sz w:val="19"/>
          <w:szCs w:val="19"/>
          <w:color w:val="auto"/>
        </w:rPr>
        <w:t>An adverse determination of any litigation or other proceedings could put one or more of such patents at risk of being invalidated or interpreted narrowly. Interference, derivation or other proceedings brought at the USPTO may be necessary to determine the priority or patentability of inventions with respect to any of our future patent applications or those of our licensors or collaborators. Litigation or USPTO proceedings brought by us or any of our current or future licensors may fail or may be invoked against us or our licensors by third parties. Even if we are successful, domestic or foreign litigation or USPTO or foreign patent office proceedings may result in substantial costs and distraction to our management or the management of any of our current or future licensors, including Daewoong. We may not be able, alone or with any of our current or future licensors or collaborators, to prevent misappropriation of our proprietary rights, particularly in countries where the laws may not protect such rights as fully as in the United States.</w:t>
      </w:r>
    </w:p>
    <w:p>
      <w:pPr>
        <w:spacing w:after="0" w:line="186" w:lineRule="exact"/>
        <w:rPr>
          <w:sz w:val="20"/>
          <w:szCs w:val="20"/>
          <w:color w:val="auto"/>
        </w:rPr>
      </w:pPr>
    </w:p>
    <w:p>
      <w:pPr>
        <w:ind w:firstLine="361"/>
        <w:spacing w:after="0" w:line="246"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In addition, during the course of this kind of litigation or proceedings, there could be public announcements of the results of hearings, motions or other interim proceedings or developments or public access to related documents. If securities analysts or investors perceive these results to be negative, the market price for our common stock could be significantly harmed. Such litigation or proceedings could substantially increase our operating losses and reduce the resources available for development activities or any future sales, marketing or distribution activities.</w:t>
      </w:r>
    </w:p>
    <w:p>
      <w:pPr>
        <w:spacing w:after="0" w:line="201" w:lineRule="exact"/>
        <w:rPr>
          <w:sz w:val="20"/>
          <w:szCs w:val="20"/>
          <w:color w:val="auto"/>
        </w:rPr>
      </w:pPr>
    </w:p>
    <w:p>
      <w:pPr>
        <w:ind w:right="60" w:firstLine="360"/>
        <w:spacing w:after="0" w:line="263" w:lineRule="auto"/>
        <w:rPr>
          <w:sz w:val="20"/>
          <w:szCs w:val="20"/>
          <w:color w:val="auto"/>
        </w:rPr>
      </w:pPr>
      <w:r>
        <w:rPr>
          <w:rFonts w:ascii="Times New Roman" w:cs="Times New Roman" w:eastAsia="Times New Roman" w:hAnsi="Times New Roman"/>
          <w:sz w:val="19"/>
          <w:szCs w:val="19"/>
          <w:color w:val="auto"/>
        </w:rPr>
        <w:t>Most of our competitors are larger than we are and have substantially greater resources. They are, therefore, likely to be able to sustain the costs of complex patent litigation or other intellectual property proceedings longer than we could. Accordingly, despite our efforts, we may not be able to prevent third parties from infringing upon or misappropriating our intellectual property. In addition, the uncertainties associated with the initiation and continuation of litigation or other intellectual property proceedings could compromise our ability to raise the funds necessary to continue our clinical studies, continue our internal research programs, or in- license needed technology, or otherwise have a material adverse effect on our business, financial condition, results of operations and prospects.</w:t>
      </w:r>
    </w:p>
    <w:p>
      <w:pPr>
        <w:spacing w:after="0" w:line="18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rights to develop and commercialize ABP-450 and future product candidates are subject, in part, to the terms and conditions of licenses granted to us by others, including Daewoong.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93" w:lineRule="exact"/>
        <w:rPr>
          <w:sz w:val="20"/>
          <w:szCs w:val="20"/>
          <w:color w:val="auto"/>
        </w:rPr>
      </w:pPr>
    </w:p>
    <w:p>
      <w:pPr>
        <w:ind w:right="120" w:firstLine="360"/>
        <w:spacing w:after="0" w:line="253" w:lineRule="auto"/>
        <w:rPr>
          <w:sz w:val="20"/>
          <w:szCs w:val="20"/>
          <w:color w:val="auto"/>
        </w:rPr>
      </w:pPr>
      <w:r>
        <w:rPr>
          <w:rFonts w:ascii="Times New Roman" w:cs="Times New Roman" w:eastAsia="Times New Roman" w:hAnsi="Times New Roman"/>
          <w:sz w:val="20"/>
          <w:szCs w:val="20"/>
          <w:color w:val="auto"/>
        </w:rPr>
        <w:t>We are heavily reliant upon our license from Daewoong to certain proprietary technology that is important or necessary to the development of ABP-450 and future product candidates. Additionally, further development and commercialization of ABP-450 and future product candidates may require us to enter into additional license or collaboration agreements. For more information regarding our reliance on Daewoong and future collaboration agreements, please see “</w:t>
      </w:r>
      <w:r>
        <w:rPr>
          <w:rFonts w:ascii="Times New Roman" w:cs="Times New Roman" w:eastAsia="Times New Roman" w:hAnsi="Times New Roman"/>
          <w:sz w:val="20"/>
          <w:szCs w:val="20"/>
          <w:i w:val="1"/>
          <w:iCs w:val="1"/>
          <w:color w:val="auto"/>
        </w:rPr>
        <w:t>Risk Factors — Reliance on Third Parties</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right="140" w:firstLine="360"/>
        <w:spacing w:after="0" w:line="249" w:lineRule="auto"/>
        <w:rPr>
          <w:sz w:val="20"/>
          <w:szCs w:val="20"/>
          <w:color w:val="auto"/>
        </w:rPr>
      </w:pPr>
      <w:r>
        <w:rPr>
          <w:rFonts w:ascii="Times New Roman" w:cs="Times New Roman" w:eastAsia="Times New Roman" w:hAnsi="Times New Roman"/>
          <w:sz w:val="20"/>
          <w:szCs w:val="20"/>
          <w:color w:val="auto"/>
        </w:rPr>
        <w:t>Our current and any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ABP-450 and future product candidates. As a result, we may not be able to prevent competitors or other third parties from developing and commercializing competitive products, including in territories covered by our licenses.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800"/>
          </w:cols>
          <w:pgMar w:left="540" w:top="1349" w:right="540" w:bottom="0" w:gutter="0" w:footer="0" w:header="0"/>
          <w:type w:val="continuous"/>
        </w:sectPr>
      </w:pPr>
    </w:p>
    <w:bookmarkStart w:id="52" w:name="page53"/>
    <w:bookmarkEnd w:id="52"/>
    <w:p>
      <w:pPr>
        <w:ind w:firstLine="361"/>
        <w:spacing w:after="0" w:line="244" w:lineRule="auto"/>
        <w:rPr>
          <w:sz w:val="20"/>
          <w:szCs w:val="20"/>
          <w:color w:val="auto"/>
        </w:rPr>
      </w:pPr>
      <w:r>
        <w:rPr>
          <w:rFonts w:ascii="Times New Roman" w:cs="Times New Roman" w:eastAsia="Times New Roman" w:hAnsi="Times New Roman"/>
          <w:sz w:val="20"/>
          <w:szCs w:val="20"/>
          <w:color w:val="auto"/>
        </w:rPr>
        <w:t>In some circumstances, we may not have the right to control the maintenance, prosecution, preparation, filing, enforcement, defense or litigation of patents and patent applications that we license from or license to third parties and are reliant on our licensors or licensees to do so. We thus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 If our licensors fail to maintain such patents or patent applications, or lose rights to those patents or patent applications, the rights we have licensed may be reduced or eliminated, and our right to develop and commercialize future product candidates that are the subject of such licensed rights and our right to exclude third parties from commercializing competing products could be adversely affected. Any of the foregoing could have a material adverse effect on our business, financial condition, results of operations and prospects.</w:t>
      </w:r>
    </w:p>
    <w:p>
      <w:pPr>
        <w:spacing w:after="0" w:line="203"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20"/>
          <w:szCs w:val="20"/>
          <w:color w:val="auto"/>
        </w:rPr>
        <w:t>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 Disputes may arise with respect to our current or future licensing agreements, including disputes relating to:</w:t>
      </w:r>
    </w:p>
    <w:p>
      <w:pPr>
        <w:spacing w:after="0" w:line="208" w:lineRule="exact"/>
        <w:rPr>
          <w:sz w:val="20"/>
          <w:szCs w:val="20"/>
          <w:color w:val="auto"/>
        </w:rPr>
      </w:pP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of rights granted under the license agreements and other interpretation-related issues;</w:t>
      </w:r>
    </w:p>
    <w:p>
      <w:pPr>
        <w:spacing w:after="0" w:line="21" w:lineRule="exact"/>
        <w:rPr>
          <w:rFonts w:ascii="Symbol" w:cs="Symbol" w:eastAsia="Symbol" w:hAnsi="Symbol"/>
          <w:sz w:val="20"/>
          <w:szCs w:val="20"/>
          <w:color w:val="auto"/>
        </w:rPr>
      </w:pP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our financial or other obligations under the license agreements;</w:t>
      </w:r>
    </w:p>
    <w:p>
      <w:pPr>
        <w:ind w:left="720" w:right="600" w:hanging="360"/>
        <w:spacing w:after="0" w:line="239" w:lineRule="auto"/>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extent to which ABP-450 and future product candidates infringe on intellectual property of the licensors that is not subject to the licensing agreements;</w:t>
      </w:r>
    </w:p>
    <w:p>
      <w:pPr>
        <w:spacing w:after="0" w:line="1" w:lineRule="exact"/>
        <w:rPr>
          <w:rFonts w:ascii="Symbol" w:cs="Symbol" w:eastAsia="Symbol" w:hAnsi="Symbol"/>
          <w:sz w:val="20"/>
          <w:szCs w:val="20"/>
          <w:color w:val="auto"/>
        </w:rPr>
      </w:pP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sublicensing of patent and other rights;</w:t>
      </w:r>
    </w:p>
    <w:p>
      <w:pPr>
        <w:ind w:left="720" w:hanging="360"/>
        <w:spacing w:after="0" w:line="238" w:lineRule="auto"/>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our diligence obligations under the license agreements and what activities satisfy those diligence obligations;</w:t>
      </w:r>
    </w:p>
    <w:p>
      <w:pPr>
        <w:ind w:left="720" w:right="6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inventorship or ownership of inventions and know-how resulting from the joint creation or use of intellectual property by our licensors and us and our partners; and</w:t>
      </w: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priority of invention of patented technology.</w:t>
      </w:r>
    </w:p>
    <w:p>
      <w:pPr>
        <w:spacing w:after="0" w:line="202" w:lineRule="exact"/>
        <w:rPr>
          <w:sz w:val="20"/>
          <w:szCs w:val="20"/>
          <w:color w:val="auto"/>
        </w:rPr>
      </w:pPr>
    </w:p>
    <w:p>
      <w:pPr>
        <w:ind w:right="80" w:firstLine="360"/>
        <w:spacing w:after="0" w:line="252" w:lineRule="auto"/>
        <w:rPr>
          <w:sz w:val="20"/>
          <w:szCs w:val="20"/>
          <w:color w:val="auto"/>
        </w:rPr>
      </w:pPr>
      <w:r>
        <w:rPr>
          <w:rFonts w:ascii="Times New Roman" w:cs="Times New Roman" w:eastAsia="Times New Roman" w:hAnsi="Times New Roman"/>
          <w:sz w:val="20"/>
          <w:szCs w:val="20"/>
          <w:color w:val="auto"/>
        </w:rPr>
        <w:t>For example, the Daewoong Agreement does not contain provisions regarding the ownership of any intellectual property that results from inventions or improvements related to ABP-450. There could be disputes in the future related to the inventorship or ownership of inventions and know-how resulting from our improvements to ABP-450 and future related product candidates, although we believe we are the sole owner of our intellectual property and have developed it independently of Daewoong.</w:t>
      </w:r>
    </w:p>
    <w:p>
      <w:pPr>
        <w:spacing w:after="0" w:line="195" w:lineRule="exact"/>
        <w:rPr>
          <w:sz w:val="20"/>
          <w:szCs w:val="20"/>
          <w:color w:val="auto"/>
        </w:rPr>
      </w:pPr>
    </w:p>
    <w:p>
      <w:pPr>
        <w:ind w:right="40" w:firstLine="361"/>
        <w:spacing w:after="0" w:line="244" w:lineRule="auto"/>
        <w:rPr>
          <w:sz w:val="20"/>
          <w:szCs w:val="20"/>
          <w:color w:val="auto"/>
        </w:rPr>
      </w:pPr>
      <w:r>
        <w:rPr>
          <w:rFonts w:ascii="Times New Roman" w:cs="Times New Roman" w:eastAsia="Times New Roman" w:hAnsi="Times New Roman"/>
          <w:sz w:val="20"/>
          <w:szCs w:val="20"/>
          <w:color w:val="auto"/>
        </w:rPr>
        <w:t>If disputes over intellectual property that we have licensed prevent or impair our ability to maintain our current licensing arrangements on acceptable terms, we may be unable to successfully develop and commercialize ABP-450 and future product candidates. If our licenses are terminated, we may lose our rights to develop and market ABP-450 and future product candidates, lose patent protection for ABP-450 and future product candidates, experience significant delays in the development and commercialization of ABP-450 and future product candidates, or incur liability for damages.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ABP-450 and future product candidates.</w:t>
      </w:r>
    </w:p>
    <w:p>
      <w:pPr>
        <w:spacing w:after="0" w:line="205" w:lineRule="exact"/>
        <w:rPr>
          <w:sz w:val="20"/>
          <w:szCs w:val="20"/>
          <w:color w:val="auto"/>
        </w:rPr>
      </w:pPr>
    </w:p>
    <w:p>
      <w:pPr>
        <w:ind w:right="80" w:firstLine="361"/>
        <w:spacing w:after="0" w:line="244" w:lineRule="auto"/>
        <w:rPr>
          <w:sz w:val="20"/>
          <w:szCs w:val="20"/>
          <w:color w:val="auto"/>
        </w:rPr>
      </w:pPr>
      <w:r>
        <w:rPr>
          <w:rFonts w:ascii="Times New Roman" w:cs="Times New Roman" w:eastAsia="Times New Roman" w:hAnsi="Times New Roman"/>
          <w:sz w:val="20"/>
          <w:szCs w:val="20"/>
          <w:color w:val="auto"/>
        </w:rPr>
        <w:t>Furthermore, if the Daewoong Agreement or any future licenses are terminated, or if the underlying patents or other intellectual property rights fail to provide the intended exclusivity, competitors or other third parties would have the freedom to seek regulatory approval of, and to market, products identical or competitive to ours and we may be required to cease our development and commercialization of ABP-450 and future product candidates. Moreover, if disputes over intellectual property that we license prevent or impair our ability to maintain other licensing arrangements on commercially acceptable terms, we may be unable to successfully develop and commercialize ABP-450 and future product candidates. In addition, certain of these license agreements may not be assignable by us without the consent of the respective licensor, which may have an adverse effect on our ability to engage in certain transactions. Any of the foregoing could have a material adverse effect on our business, financial condition, results of operations and prospects.</w:t>
      </w:r>
    </w:p>
    <w:p>
      <w:pPr>
        <w:spacing w:after="0" w:line="204" w:lineRule="exact"/>
        <w:rPr>
          <w:sz w:val="20"/>
          <w:szCs w:val="20"/>
          <w:color w:val="auto"/>
        </w:rPr>
      </w:pPr>
    </w:p>
    <w:p>
      <w:pPr>
        <w:ind w:right="100" w:firstLine="360"/>
        <w:spacing w:after="0" w:line="279" w:lineRule="auto"/>
        <w:rPr>
          <w:sz w:val="20"/>
          <w:szCs w:val="20"/>
          <w:color w:val="auto"/>
        </w:rPr>
      </w:pPr>
      <w:r>
        <w:rPr>
          <w:rFonts w:ascii="Times New Roman" w:cs="Times New Roman" w:eastAsia="Times New Roman" w:hAnsi="Times New Roman"/>
          <w:sz w:val="19"/>
          <w:szCs w:val="19"/>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780"/>
          </w:cols>
          <w:pgMar w:left="540" w:top="1349" w:right="560" w:bottom="0" w:gutter="0" w:footer="0" w:header="0"/>
          <w:type w:val="continuous"/>
        </w:sectPr>
      </w:pPr>
    </w:p>
    <w:bookmarkStart w:id="53" w:name="page54"/>
    <w:bookmarkEnd w:id="53"/>
    <w:p>
      <w:pPr>
        <w:ind w:right="520"/>
        <w:spacing w:after="0" w:line="278" w:lineRule="auto"/>
        <w:rPr>
          <w:sz w:val="20"/>
          <w:szCs w:val="20"/>
          <w:color w:val="auto"/>
        </w:rPr>
      </w:pPr>
      <w:r>
        <w:rPr>
          <w:rFonts w:ascii="Times New Roman" w:cs="Times New Roman" w:eastAsia="Times New Roman" w:hAnsi="Times New Roman"/>
          <w:sz w:val="20"/>
          <w:szCs w:val="20"/>
          <w:color w:val="auto"/>
        </w:rPr>
        <w:t>financial or other obligations under the relevant agreement, either of which could have a material adverse effect on our business, financial condition, results of operations and prospects.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throughout the world.</w:t>
      </w:r>
    </w:p>
    <w:p>
      <w:pPr>
        <w:spacing w:after="0" w:line="239" w:lineRule="exact"/>
        <w:rPr>
          <w:sz w:val="20"/>
          <w:szCs w:val="20"/>
          <w:color w:val="auto"/>
        </w:rPr>
      </w:pPr>
    </w:p>
    <w:p>
      <w:pPr>
        <w:ind w:right="40" w:firstLine="361"/>
        <w:spacing w:after="0" w:line="243" w:lineRule="auto"/>
        <w:rPr>
          <w:sz w:val="20"/>
          <w:szCs w:val="20"/>
          <w:color w:val="auto"/>
        </w:rPr>
      </w:pPr>
      <w:r>
        <w:rPr>
          <w:rFonts w:ascii="Times New Roman" w:cs="Times New Roman" w:eastAsia="Times New Roman" w:hAnsi="Times New Roman"/>
          <w:sz w:val="20"/>
          <w:szCs w:val="20"/>
          <w:color w:val="auto"/>
        </w:rPr>
        <w:t>Filing, prosecuting and defending patents relating to ABP-450 and any future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a patent owner may have limited remedies, and in some cases foreign authorities may even force us to grant a compulsory license to competitors or other third parties. As such, we or our licensors may not be able to obtain patent protection for ABP -450 and future product candidates outside the United States. Consequently, we may not be able to prevent third parties from using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206" w:lineRule="exact"/>
        <w:rPr>
          <w:sz w:val="20"/>
          <w:szCs w:val="20"/>
          <w:color w:val="auto"/>
        </w:rPr>
      </w:pPr>
    </w:p>
    <w:p>
      <w:pPr>
        <w:ind w:right="40" w:firstLine="361"/>
        <w:spacing w:after="0" w:line="258" w:lineRule="auto"/>
        <w:rPr>
          <w:sz w:val="20"/>
          <w:szCs w:val="20"/>
          <w:color w:val="auto"/>
        </w:rPr>
      </w:pPr>
      <w:r>
        <w:rPr>
          <w:rFonts w:ascii="Times New Roman" w:cs="Times New Roman" w:eastAsia="Times New Roman" w:hAnsi="Times New Roman"/>
          <w:sz w:val="19"/>
          <w:szCs w:val="19"/>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any of our patents that may issue from our pending patent applications, or the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ind w:right="140" w:firstLine="360"/>
        <w:spacing w:after="0" w:line="278" w:lineRule="auto"/>
        <w:rPr>
          <w:sz w:val="20"/>
          <w:szCs w:val="20"/>
          <w:color w:val="auto"/>
        </w:rPr>
      </w:pPr>
      <w:r>
        <w:rPr>
          <w:rFonts w:ascii="Times New Roman" w:cs="Times New Roman" w:eastAsia="Times New Roman" w:hAnsi="Times New Roman"/>
          <w:sz w:val="20"/>
          <w:szCs w:val="20"/>
          <w:color w:val="auto"/>
        </w:rPr>
        <w:t>In addition, our ability to protect and enforce our intellectual property rights may be adversely affected by unforeseen changes in domestic and foreign intellectual property 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would be harmed.</w:t>
      </w:r>
    </w:p>
    <w:p>
      <w:pPr>
        <w:spacing w:after="0" w:line="240" w:lineRule="exact"/>
        <w:rPr>
          <w:sz w:val="20"/>
          <w:szCs w:val="20"/>
          <w:color w:val="auto"/>
        </w:rPr>
      </w:pPr>
    </w:p>
    <w:p>
      <w:pPr>
        <w:jc w:val="both"/>
        <w:ind w:right="280" w:firstLine="360"/>
        <w:spacing w:after="0" w:line="258" w:lineRule="auto"/>
        <w:rPr>
          <w:sz w:val="20"/>
          <w:szCs w:val="20"/>
          <w:color w:val="auto"/>
        </w:rPr>
      </w:pPr>
      <w:r>
        <w:rPr>
          <w:rFonts w:ascii="Times New Roman" w:cs="Times New Roman" w:eastAsia="Times New Roman" w:hAnsi="Times New Roman"/>
          <w:sz w:val="20"/>
          <w:szCs w:val="20"/>
          <w:color w:val="auto"/>
        </w:rPr>
        <w:t>In addition to seeking patent protection for our product candidates, including ABP-450, we and our licensors also rely on trade secrets protection to protect our and their unpatented know-how, technology and other proprietary information, in order to maintain our and their competitive positions.</w:t>
      </w:r>
    </w:p>
    <w:p>
      <w:pPr>
        <w:spacing w:after="0" w:line="187"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We and our licensors seek to protect our trade secrets, in part, by entering into non-disclosure and confidentiality agreements with parties who have access to them, such as our employees, collaborators, consultants, advisors and other third parties. We have entered into invention assignment agreements with our current employees.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or our licensors have taken to protect our respective proprietary technologies will be effective.</w:t>
      </w:r>
    </w:p>
    <w:p>
      <w:pPr>
        <w:spacing w:after="0" w:line="200" w:lineRule="exact"/>
        <w:rPr>
          <w:sz w:val="20"/>
          <w:szCs w:val="20"/>
          <w:color w:val="auto"/>
        </w:rPr>
      </w:pPr>
    </w:p>
    <w:p>
      <w:pPr>
        <w:ind w:right="180" w:firstLine="360"/>
        <w:spacing w:after="0" w:line="249" w:lineRule="auto"/>
        <w:rPr>
          <w:sz w:val="20"/>
          <w:szCs w:val="20"/>
          <w:color w:val="auto"/>
        </w:rPr>
      </w:pPr>
      <w:r>
        <w:rPr>
          <w:rFonts w:ascii="Times New Roman" w:cs="Times New Roman" w:eastAsia="Times New Roman" w:hAnsi="Times New Roman"/>
          <w:sz w:val="20"/>
          <w:szCs w:val="20"/>
          <w:color w:val="auto"/>
        </w:rPr>
        <w:t>Additionally, we cannot guarantee that we or our licensors have entered into such agreements with each party that may have or has had access to our respective trade secrets. We also seek to preserve the integrity and confidentiality of our data and trade secrets by taking security measures with respect to our information technology systems; however, our or our licensors’ systems and security measures may be breached, and we may not have adequate remedies for any breach. As a result, we or our licensors could lose our trade secrets and third parties could use our or our licensors’ trade secrets to compete with ABP-450 or future product candidates.</w:t>
      </w:r>
    </w:p>
    <w:p>
      <w:pPr>
        <w:spacing w:after="0" w:line="197" w:lineRule="exact"/>
        <w:rPr>
          <w:sz w:val="20"/>
          <w:szCs w:val="20"/>
          <w:color w:val="auto"/>
        </w:rPr>
      </w:pPr>
    </w:p>
    <w:p>
      <w:pPr>
        <w:ind w:right="40" w:firstLine="360"/>
        <w:spacing w:after="0" w:line="270" w:lineRule="auto"/>
        <w:rPr>
          <w:sz w:val="20"/>
          <w:szCs w:val="20"/>
          <w:color w:val="auto"/>
        </w:rPr>
      </w:pPr>
      <w:r>
        <w:rPr>
          <w:rFonts w:ascii="Times New Roman" w:cs="Times New Roman" w:eastAsia="Times New Roman" w:hAnsi="Times New Roman"/>
          <w:sz w:val="19"/>
          <w:szCs w:val="19"/>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Competitors or third parties could purchase ABP-450 and future product candidates and attempt to replicate or reverse engineer some or all of the competitive advantages we derive from our development efforts, willfully infringe our intellectual property</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800"/>
          </w:cols>
          <w:pgMar w:left="540" w:top="1349" w:right="540" w:bottom="0" w:gutter="0" w:footer="0" w:header="0"/>
          <w:type w:val="continuous"/>
        </w:sectPr>
      </w:pPr>
    </w:p>
    <w:bookmarkStart w:id="54" w:name="page55"/>
    <w:bookmarkEnd w:id="54"/>
    <w:p>
      <w:pPr>
        <w:ind w:right="20"/>
        <w:spacing w:after="0" w:line="249" w:lineRule="auto"/>
        <w:rPr>
          <w:sz w:val="20"/>
          <w:szCs w:val="20"/>
          <w:color w:val="auto"/>
        </w:rPr>
      </w:pPr>
      <w:r>
        <w:rPr>
          <w:rFonts w:ascii="Times New Roman" w:cs="Times New Roman" w:eastAsia="Times New Roman" w:hAnsi="Times New Roman"/>
          <w:sz w:val="20"/>
          <w:szCs w:val="20"/>
          <w:color w:val="auto"/>
        </w:rPr>
        <w:t>rights, design around our protected technology or develop their own competitive technologies that fall outside the scope of our intellectual property rights. If any of our trade secrets were to be lawfully obtained or independently developed by a competitor or third party,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98" w:lineRule="exact"/>
        <w:rPr>
          <w:sz w:val="20"/>
          <w:szCs w:val="20"/>
          <w:color w:val="auto"/>
        </w:rPr>
      </w:pPr>
    </w:p>
    <w:p>
      <w:pPr>
        <w:ind w:right="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employees, consultants or independent contractors have wrongfully used or disclosed confidential information of third parties or asserting ownership of what we regard as our own intellectual property.</w:t>
      </w:r>
    </w:p>
    <w:p>
      <w:pPr>
        <w:spacing w:after="0" w:line="167" w:lineRule="exact"/>
        <w:rPr>
          <w:sz w:val="20"/>
          <w:szCs w:val="20"/>
          <w:color w:val="auto"/>
        </w:rPr>
      </w:pPr>
    </w:p>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We employ individuals who were previously employed at other pharmaceutical companies including certain of our anticipated competitors. We may be subject to claims that we or our employees, consultants or independent contractors have inadvertently or otherwise used or disclosed confidential information, including intellectual property and other proprietary information, of our employees’ former employers or other third parties. Litigation may be necessary to defend against these claims. We may not be successful in defending these claims, and even if we are successful, litigation could result in substantial cost and be a distraction to our management and other employees. Any litigation or the threat thereof may adversely affect our ability to hire or retain employees. A loss of key personnel or their work product could diminish or prevent our ability to commercialize ABP-450, which could have an adverse effect on our business, results of operations and financial condition.</w:t>
      </w:r>
    </w:p>
    <w:p>
      <w:pPr>
        <w:spacing w:after="0" w:line="202"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In addition, while it is our policy to require our employees and contractors who may be involved in the conception or development of intellectual property to execute agreements assigning such intellectual property to us, we may also be subject to claims that former employers or other third parties have an ownership interest in our patents or other intellectual property.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We or our licensors may in the future be subject to claims by former employees, consultants or other third parties asserting an ownership right in our owned or licensed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any patent protection covering ABP -450 and future product candidates. Disputes about the ownership of intellectual property may have a material adverse effect on our business, financial condition, results of operations and prospects.</w:t>
      </w:r>
    </w:p>
    <w:p>
      <w:pPr>
        <w:spacing w:after="0" w:line="20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67" w:lineRule="exact"/>
        <w:rPr>
          <w:sz w:val="20"/>
          <w:szCs w:val="20"/>
          <w:color w:val="auto"/>
        </w:rPr>
      </w:pPr>
    </w:p>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Although we have filed applications to register trademarks in the United States and other jurisdictions, we currently do not own any registered trademarks and our current and future trademark applications in the United States and in foreign jurisdictions may not be allowed or may subsequently be opposed, as has been done in the United States with the Company’s trademark applications for AEON and related marks. Further, our unregistered or future registered trademarks or trade names may be challenged, infringed, circumvented or declared generic or determined to be infringing on other marks. We may not be able to protect our rights to these trademarks and trade names, which we need to build name recognition by potential partners or customers in our markets of interest. At times, competitors may adopt trade names or trademarks similar to ours, thereby impeding our ability to build brand identity and possibly leading to market confusion. Over the long term, if we are unable to establish name recognition based on our trademarks and trade names, then we may not be able to compete effectively and our business may be adversely affected.</w:t>
      </w:r>
    </w:p>
    <w:p>
      <w:pPr>
        <w:spacing w:after="0" w:line="204"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Third parties may assert that we are using trademarks or trade names that are confusingly similar to their marks. If any third-party were able to establish that our trademarks or trade names were infringing their marks, that third-party may be able to block our ability to use the infringing trademark or trade name. In addition, if a third-party were to bring such a claim, we would be required to dedicate time and resources to fight the claim, which time and resources could otherwise be used toward the maintenance of our own intellectual property.</w:t>
      </w:r>
    </w:p>
    <w:p>
      <w:pPr>
        <w:spacing w:after="0" w:line="198"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Parties making claims against us may request and obtain injunctive or other equitable relief, which could prevent our ability to use the subject trademarks or trade names. Defense of these claims, regardless of their merit, would involve substantial litigation expense and would be a substantial diversion of employee and management resources from our business, and their time and resources could</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800"/>
          </w:cols>
          <w:pgMar w:left="540" w:top="1349" w:right="540" w:bottom="0" w:gutter="0" w:footer="0" w:header="0"/>
          <w:type w:val="continuous"/>
        </w:sectPr>
      </w:pPr>
    </w:p>
    <w:bookmarkStart w:id="55" w:name="page56"/>
    <w:bookmarkEnd w:id="55"/>
    <w:p>
      <w:pPr>
        <w:ind w:right="220"/>
        <w:spacing w:after="0" w:line="247" w:lineRule="auto"/>
        <w:rPr>
          <w:sz w:val="20"/>
          <w:szCs w:val="20"/>
          <w:color w:val="auto"/>
        </w:rPr>
      </w:pPr>
      <w:r>
        <w:rPr>
          <w:rFonts w:ascii="Times New Roman" w:cs="Times New Roman" w:eastAsia="Times New Roman" w:hAnsi="Times New Roman"/>
          <w:sz w:val="20"/>
          <w:szCs w:val="20"/>
          <w:color w:val="auto"/>
        </w:rPr>
        <w:t>otherwise be used toward the maintenance of our own intellectual property and may otherwise be expensive and time- consuming, particularly for a company of our size. In the event of a successful claim of infringement against us, we may have to pay substantial damages, including treble damages and attorneys’ fees for willful infringement. We may be required to re-brand one or more of our products or services offered under the infringing trademark or trade name, which may require substantial time and monetary expenditure. Third parties could claim senior rights in marks which might be enforced against our use of trademarks or trade names, resulting in an injunction prohibiting our sales under those trademarks or trade names.</w:t>
      </w:r>
    </w:p>
    <w:p>
      <w:pPr>
        <w:spacing w:after="0" w:line="200"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20"/>
          <w:szCs w:val="20"/>
          <w:color w:val="auto"/>
        </w:rPr>
        <w:t>Our efforts to enforce or protect our proprietary rights related to trademarks may be ineffective and could result in substantial costs and diversion of resources. Any of the foregoing could have a material adverse effect on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w:t>
      </w:r>
    </w:p>
    <w:p>
      <w:pPr>
        <w:spacing w:after="0" w:line="239" w:lineRule="exact"/>
        <w:rPr>
          <w:sz w:val="20"/>
          <w:szCs w:val="20"/>
          <w:color w:val="auto"/>
        </w:rPr>
      </w:pPr>
    </w:p>
    <w:p>
      <w:pPr>
        <w:ind w:right="220" w:firstLine="360"/>
        <w:spacing w:after="0" w:line="278"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81" w:lineRule="exact"/>
        <w:rPr>
          <w:sz w:val="20"/>
          <w:szCs w:val="20"/>
          <w:color w:val="auto"/>
        </w:rPr>
      </w:pPr>
    </w:p>
    <w:p>
      <w:pPr>
        <w:ind w:left="720" w:right="280" w:hanging="361"/>
        <w:spacing w:after="0" w:line="251" w:lineRule="auto"/>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others may be able to make ABP-450 and future product candidates that are similar to ours, but that are not covered by the claims of the patents that we may license or own in the future;</w:t>
      </w:r>
    </w:p>
    <w:p>
      <w:pPr>
        <w:ind w:left="720" w:right="80" w:hanging="361"/>
        <w:spacing w:after="0" w:line="239" w:lineRule="auto"/>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we, or our license partners or future collaborators, might not have been the first to make the inventions covered by the issued patent or pending patent applications that we license or may own in the future;</w:t>
      </w:r>
    </w:p>
    <w:p>
      <w:pPr>
        <w:spacing w:after="0" w:line="1" w:lineRule="exact"/>
        <w:rPr>
          <w:rFonts w:ascii="Symbol" w:cs="Symbol" w:eastAsia="Symbol" w:hAnsi="Symbol"/>
          <w:sz w:val="20"/>
          <w:szCs w:val="20"/>
          <w:color w:val="auto"/>
        </w:rPr>
      </w:pPr>
    </w:p>
    <w:p>
      <w:pPr>
        <w:ind w:left="720" w:right="100" w:hanging="361"/>
        <w:spacing w:after="0" w:line="239" w:lineRule="auto"/>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we, or our license partners or future collaborators, might not have been the first to file patent applications covering certain of our or their inventions;</w:t>
      </w:r>
    </w:p>
    <w:p>
      <w:pPr>
        <w:spacing w:after="0" w:line="1" w:lineRule="exact"/>
        <w:rPr>
          <w:rFonts w:ascii="Symbol" w:cs="Symbol" w:eastAsia="Symbol" w:hAnsi="Symbol"/>
          <w:sz w:val="20"/>
          <w:szCs w:val="20"/>
          <w:color w:val="auto"/>
        </w:rPr>
      </w:pPr>
    </w:p>
    <w:p>
      <w:pPr>
        <w:ind w:left="720" w:right="100" w:hanging="361"/>
        <w:spacing w:after="0"/>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our owned or licensed intellectual property rights;</w:t>
      </w:r>
    </w:p>
    <w:p>
      <w:pPr>
        <w:ind w:left="720" w:right="160" w:hanging="361"/>
        <w:spacing w:after="0" w:line="239" w:lineRule="auto"/>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others may circumvent our regulatory exclusivities, such as by pursuing approval of a competitive product candidate via the traditional approval pathway based on their own clinical data, rather than relying on the abbreviated pathway provided for biosimilar applicants;</w:t>
      </w:r>
    </w:p>
    <w:p>
      <w:pPr>
        <w:spacing w:after="0" w:line="1" w:lineRule="exact"/>
        <w:rPr>
          <w:rFonts w:ascii="Symbol" w:cs="Symbol" w:eastAsia="Symbol" w:hAnsi="Symbol"/>
          <w:sz w:val="20"/>
          <w:szCs w:val="20"/>
          <w:color w:val="auto"/>
        </w:rPr>
      </w:pPr>
    </w:p>
    <w:p>
      <w:pPr>
        <w:ind w:left="720" w:right="520" w:hanging="361"/>
        <w:spacing w:after="0"/>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it is possible that our pending licensed patent applications or those that we may own in the future will not lead to issued patents;</w:t>
      </w:r>
    </w:p>
    <w:p>
      <w:pPr>
        <w:ind w:left="720" w:right="180" w:hanging="361"/>
        <w:spacing w:after="0" w:line="239" w:lineRule="auto"/>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issued patents that we hold rights to now or in the future may be held invalid or unenforceable, including as a result of legal challenges by our competitors;</w:t>
      </w:r>
    </w:p>
    <w:p>
      <w:pPr>
        <w:spacing w:after="0" w:line="1" w:lineRule="exact"/>
        <w:rPr>
          <w:rFonts w:ascii="Symbol" w:cs="Symbol" w:eastAsia="Symbol" w:hAnsi="Symbol"/>
          <w:sz w:val="20"/>
          <w:szCs w:val="20"/>
          <w:color w:val="auto"/>
        </w:rPr>
      </w:pPr>
    </w:p>
    <w:p>
      <w:pPr>
        <w:ind w:left="720" w:hanging="361"/>
        <w:spacing w:after="0"/>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others may have access to the same intellectual property rights licensed to us in the future on a nonexclusive basis;</w:t>
      </w:r>
    </w:p>
    <w:p>
      <w:pPr>
        <w:ind w:left="720" w:right="180" w:hanging="361"/>
        <w:spacing w:after="0" w:line="239" w:lineRule="auto"/>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our competitors might conduct R&amp;D activities in countries where we do not have patent rights and then use the information learned from such activities to develop competitive products for sale in our major commercial markets;</w:t>
      </w:r>
    </w:p>
    <w:p>
      <w:pPr>
        <w:spacing w:after="0" w:line="1" w:lineRule="exact"/>
        <w:rPr>
          <w:rFonts w:ascii="Symbol" w:cs="Symbol" w:eastAsia="Symbol" w:hAnsi="Symbol"/>
          <w:sz w:val="20"/>
          <w:szCs w:val="20"/>
          <w:color w:val="auto"/>
        </w:rPr>
      </w:pPr>
    </w:p>
    <w:p>
      <w:pPr>
        <w:ind w:left="720" w:hanging="361"/>
        <w:spacing w:after="0" w:line="238" w:lineRule="auto"/>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not develop additional proprietary technologies that are patentable;</w:t>
      </w:r>
    </w:p>
    <w:p>
      <w:pPr>
        <w:ind w:left="720" w:hanging="361"/>
        <w:spacing w:after="0"/>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the patents or other intellectual property rights of others may have an adverse effect on our business; or</w:t>
      </w:r>
    </w:p>
    <w:p>
      <w:pPr>
        <w:ind w:left="720" w:right="400" w:hanging="361"/>
        <w:spacing w:after="0"/>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choose not to file a patent for certain trade secrets or know-how, and a third party may subsequently file a patent covering such intellectual property.</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Any of the foregoing could have a material adverse effect on our business, financial condition, results of operations and prospects.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and products are subject to extensive government regulation.</w:t>
      </w:r>
    </w:p>
    <w:p>
      <w:pPr>
        <w:spacing w:after="0" w:line="239" w:lineRule="exact"/>
        <w:rPr>
          <w:sz w:val="20"/>
          <w:szCs w:val="20"/>
          <w:color w:val="auto"/>
        </w:rPr>
      </w:pPr>
    </w:p>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We are subject to extensive, complex, costly and evolving regulation by federal and state governmental authorities in the United States and other countries, principally by the FDA and other similar regulatory authorities. Daewoong is also subject to extensive regulation by the FDA and the South Korean regulatory authorities as well as other regulatory authorities. Our failure to comply with all applicable regulatory requirements, or Daewoong’s or any future collaborator’s failure to comply with applicable regulatory requirements, including those promulgated under the Federal Food, Drug, and Cosmetic Act, the Public Health Service Act, and other laws may subject us to operating restrictions and criminal prosecution, monetary penalties and other enforcement or administrative actions, including sanctions, warning letters, import alerts, product seizures, recalls, fines, injunctions, suspension, revocation of approvals, or exclusion from future participation in the Medicare and Medicaid programs.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800"/>
          </w:cols>
          <w:pgMar w:left="540" w:top="1349" w:right="540" w:bottom="0" w:gutter="0" w:footer="0" w:header="0"/>
          <w:type w:val="continuous"/>
        </w:sectPr>
      </w:pPr>
    </w:p>
    <w:bookmarkStart w:id="56" w:name="page57"/>
    <w:bookmarkEnd w:id="56"/>
    <w:p>
      <w:pPr>
        <w:ind w:right="200" w:firstLine="361"/>
        <w:spacing w:after="0" w:line="247" w:lineRule="auto"/>
        <w:rPr>
          <w:sz w:val="20"/>
          <w:szCs w:val="20"/>
          <w:color w:val="auto"/>
        </w:rPr>
      </w:pPr>
      <w:r>
        <w:rPr>
          <w:rFonts w:ascii="Times New Roman" w:cs="Times New Roman" w:eastAsia="Times New Roman" w:hAnsi="Times New Roman"/>
          <w:sz w:val="20"/>
          <w:szCs w:val="20"/>
          <w:color w:val="auto"/>
        </w:rPr>
        <w:t>In the event ABP-450 receives regulatory approval, we and our direct and indirect suppliers, including Daewoong, will remain subject to the periodic inspection of our plants and facilities, review of production processes, and testing of our products to confirm that we are in compliance with all applicable regulations. Adverse findings during regulatory inspections may result in requirements that we implement REMS programs, requirements that we complete government mandated clinical studies, and government enforcement actions, including those relating to labeling, advertising, marketing and promotion, as well as regulations governing manufacturing controls.</w:t>
      </w:r>
    </w:p>
    <w:p>
      <w:pPr>
        <w:spacing w:after="0" w:line="200" w:lineRule="exact"/>
        <w:rPr>
          <w:sz w:val="20"/>
          <w:szCs w:val="20"/>
          <w:color w:val="auto"/>
        </w:rPr>
      </w:pPr>
    </w:p>
    <w:p>
      <w:pPr>
        <w:ind w:right="20" w:firstLine="360"/>
        <w:spacing w:after="0" w:line="278" w:lineRule="auto"/>
        <w:rPr>
          <w:sz w:val="20"/>
          <w:szCs w:val="20"/>
          <w:color w:val="auto"/>
        </w:rPr>
      </w:pPr>
      <w:r>
        <w:rPr>
          <w:rFonts w:ascii="Times New Roman" w:cs="Times New Roman" w:eastAsia="Times New Roman" w:hAnsi="Times New Roman"/>
          <w:sz w:val="20"/>
          <w:szCs w:val="20"/>
          <w:color w:val="auto"/>
        </w:rPr>
        <w:t>If we experience delays in obtaining approval or if we fail to obtain approval of ABP-450, the commercial prospects for ABP-450 may be harmed and our ability to generate revenue will be materially impaired.</w:t>
      </w:r>
    </w:p>
    <w:p>
      <w:pPr>
        <w:spacing w:after="0" w:line="168" w:lineRule="exact"/>
        <w:rPr>
          <w:sz w:val="20"/>
          <w:szCs w:val="20"/>
          <w:color w:val="auto"/>
        </w:rPr>
      </w:pPr>
    </w:p>
    <w:p>
      <w:pPr>
        <w:ind w:right="40" w:firstLine="361"/>
        <w:spacing w:after="0" w:line="246" w:lineRule="auto"/>
        <w:rPr>
          <w:sz w:val="20"/>
          <w:szCs w:val="20"/>
          <w:color w:val="auto"/>
        </w:rPr>
      </w:pPr>
      <w:r>
        <w:rPr>
          <w:rFonts w:ascii="Times New Roman" w:cs="Times New Roman" w:eastAsia="Times New Roman" w:hAnsi="Times New Roman"/>
          <w:sz w:val="20"/>
          <w:szCs w:val="20"/>
          <w:color w:val="auto"/>
        </w:rPr>
        <w:t>In addition, in the course of our activities we may collect information from clinical study subjects or other individuals that subjects us to a variety of rapidly evolving laws regarding privacy, data protection and data security, including those related to the collection, storage, handling, use, disclosure, transfer and security of personal data. Data breaches or other violations of these laws could subject our business to significant penalties and reputational harm. For more information on data security and privacy, see “</w:t>
      </w:r>
      <w:r>
        <w:rPr>
          <w:rFonts w:ascii="Times New Roman" w:cs="Times New Roman" w:eastAsia="Times New Roman" w:hAnsi="Times New Roman"/>
          <w:sz w:val="20"/>
          <w:szCs w:val="20"/>
          <w:i w:val="1"/>
          <w:iCs w:val="1"/>
          <w:color w:val="auto"/>
        </w:rPr>
        <w:t>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Factors — Risks Related to Government Regulation — We are subject to stringent and often unsettled privacy laws, information security laws, regulations, policies and contractual obligations related to data privacy and security and changes in such laws, regulations, policies and contractual obligations could adversely affect our business</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Even if we obtain FDA approval for ABP-450 in the United States, we may never obtain approval for or commercialize such candidates in any other jurisdiction, which would limit our ability to realize their full market potential.</w:t>
      </w:r>
    </w:p>
    <w:p>
      <w:pPr>
        <w:spacing w:after="0" w:line="167" w:lineRule="exact"/>
        <w:rPr>
          <w:sz w:val="20"/>
          <w:szCs w:val="20"/>
          <w:color w:val="auto"/>
        </w:rPr>
      </w:pPr>
    </w:p>
    <w:p>
      <w:pPr>
        <w:ind w:right="160" w:firstLine="361"/>
        <w:spacing w:after="0" w:line="247" w:lineRule="auto"/>
        <w:rPr>
          <w:sz w:val="20"/>
          <w:szCs w:val="20"/>
          <w:color w:val="auto"/>
        </w:rPr>
      </w:pPr>
      <w:r>
        <w:rPr>
          <w:rFonts w:ascii="Times New Roman" w:cs="Times New Roman" w:eastAsia="Times New Roman" w:hAnsi="Times New Roman"/>
          <w:sz w:val="20"/>
          <w:szCs w:val="20"/>
          <w:color w:val="auto"/>
        </w:rPr>
        <w:t>In order to market any products in any particular jurisdiction, we must establish and comply with numerous and varying regulatory requirements on a country-by-country basis regarding safety and efficacy. 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200" w:lineRule="exact"/>
        <w:rPr>
          <w:sz w:val="20"/>
          <w:szCs w:val="20"/>
          <w:color w:val="auto"/>
        </w:rPr>
      </w:pPr>
    </w:p>
    <w:p>
      <w:pPr>
        <w:ind w:right="40" w:firstLine="361"/>
        <w:spacing w:after="0" w:line="245" w:lineRule="auto"/>
        <w:rPr>
          <w:sz w:val="20"/>
          <w:szCs w:val="20"/>
          <w:color w:val="auto"/>
        </w:rPr>
      </w:pPr>
      <w:r>
        <w:rPr>
          <w:rFonts w:ascii="Times New Roman" w:cs="Times New Roman" w:eastAsia="Times New Roman" w:hAnsi="Times New Roman"/>
          <w:sz w:val="20"/>
          <w:szCs w:val="20"/>
          <w:color w:val="auto"/>
        </w:rPr>
        <w:t>Approval processes vary among countries and can involve additional product testing and validation, as well as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02"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misuse or off-label use of our approved products, if any,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86" w:lineRule="exact"/>
        <w:rPr>
          <w:sz w:val="20"/>
          <w:szCs w:val="20"/>
          <w:color w:val="auto"/>
        </w:rPr>
      </w:pPr>
    </w:p>
    <w:p>
      <w:pPr>
        <w:ind w:firstLine="361"/>
        <w:spacing w:after="0" w:line="242" w:lineRule="auto"/>
        <w:rPr>
          <w:sz w:val="20"/>
          <w:szCs w:val="20"/>
          <w:color w:val="auto"/>
        </w:rPr>
      </w:pPr>
      <w:r>
        <w:rPr>
          <w:rFonts w:ascii="Times New Roman" w:cs="Times New Roman" w:eastAsia="Times New Roman" w:hAnsi="Times New Roman"/>
          <w:sz w:val="20"/>
          <w:szCs w:val="20"/>
          <w:color w:val="auto"/>
        </w:rPr>
        <w:t>The FDA and other regulatory agencies strictly regulate the marketing and promotional claims that are made about pharmaceutical products. These regulations include standards and restrictions for direct-to- 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any products will be narrowly limited to those indications that are specifically approved by the FDA. In particular, a product may not be promoted for uses or indications that are not specifically approved by the FDA or other regulatory agencies as reflected in the product’s approved labeling. For example, if we receive regulatory approval for ABP-450 and if we are found to have promoted uses that are not part of ABP-450’s approved labeling, we may be subject to enforcement action from the FDA and other regulatory agencies, as applicable,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780"/>
          </w:cols>
          <w:pgMar w:left="540" w:top="1349" w:right="560" w:bottom="0" w:gutter="0" w:footer="0" w:header="0"/>
          <w:type w:val="continuous"/>
        </w:sectPr>
      </w:pPr>
    </w:p>
    <w:bookmarkStart w:id="57" w:name="page58"/>
    <w:bookmarkEnd w:id="57"/>
    <w:p>
      <w:pPr>
        <w:ind w:right="20"/>
        <w:spacing w:after="0" w:line="246" w:lineRule="auto"/>
        <w:rPr>
          <w:sz w:val="20"/>
          <w:szCs w:val="20"/>
          <w:color w:val="auto"/>
        </w:rPr>
      </w:pPr>
      <w:r>
        <w:rPr>
          <w:rFonts w:ascii="Times New Roman" w:cs="Times New Roman" w:eastAsia="Times New Roman" w:hAnsi="Times New Roman"/>
          <w:sz w:val="20"/>
          <w:szCs w:val="20"/>
          <w:color w:val="auto"/>
        </w:rPr>
        <w:t>management’s attention could be diverted from our business operations, significant legal expenses could be incurred, and our reputation could be damaged. The FDA has also required that companies enter into consent decrees or permanent injunctions under which specified promotional conduct is changed or curtailed in order to resolve FDA enforcement actions. If we are deemed by the FDA to have engaged in the promotion of our products for off-label use, we could be subject to FDA prohibitions or other restrictions on the sale or marketing of our products and other operations or significant fines and penalties, and the imposition of these sanctions could also affect our reputation and position within the industry. In addition, off-label promotion could expose us to liability under the FCA, as well as similar state laws.</w:t>
      </w:r>
    </w:p>
    <w:p>
      <w:pPr>
        <w:spacing w:after="0" w:line="201"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color w:val="auto"/>
        </w:rPr>
        <w:t>Physicians may also misuse ABP-450, if approved, or use improper techniques, potentially leading to adverse results, side effects or injury, which may lead to product liability claims. If ABP-450 is misused or used with improper techniques or is determined to cause or contribute to patient harm, we may become subject to costly litigation by our customers or their patients. Product liability claims could divert management’s attention from our core business, be expensive to defend, result in sizable damage awards against us that may not be covered by insurance and subject us to negative publicity resulting in reduced sales of our products. Furthermore, the use of ABP-450, if approved, for indications other than those cleared by the FDA, may not effectively treat such conditions, which could harm our reputation in the marketplace among physicians and patients. Any of these events could harm our business and results of operations and cause the price of our common stock to decline.</w:t>
      </w:r>
    </w:p>
    <w:p>
      <w:pPr>
        <w:spacing w:after="0" w:line="202"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ind w:right="60" w:firstLine="361"/>
        <w:spacing w:after="0" w:line="244" w:lineRule="auto"/>
        <w:rPr>
          <w:sz w:val="20"/>
          <w:szCs w:val="20"/>
          <w:color w:val="auto"/>
        </w:rPr>
      </w:pPr>
      <w:r>
        <w:rPr>
          <w:rFonts w:ascii="Times New Roman" w:cs="Times New Roman" w:eastAsia="Times New Roman" w:hAnsi="Times New Roman"/>
          <w:sz w:val="20"/>
          <w:szCs w:val="20"/>
          <w:color w:val="auto"/>
        </w:rPr>
        <w:t>We are subject to applicable fraud and abuse and other healthcare laws and regulations, including, without limitation, the federal Anti-Kickback Statute and the FCA, which may constrain the business or financial arrangements and relationships through which we sell, market and distribute our products. In particular, the promotion, sales and marketing of healthcare items and services, as well as certain business arrangements in the healthcare industry (e.g., healthcare providers, physicians and third party payors),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We also may be subject to patient information and privacy and security regulation by both the federal government and the states and foreign jurisdictions in which we conduct our business. The applicable federal, state and foreign healthcare laws and regulations that may affect our ability to operate include, but are not limited to:</w:t>
      </w:r>
    </w:p>
    <w:p>
      <w:pPr>
        <w:spacing w:after="0" w:line="206"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The Anti-Kickback Statute, which prohibits the knowing and willful offer, receipt, or payment of remuneration in exchange for or to induce the referral of patients or the use of products or services that would be paid for in whole or part by Medicare, Medicaid or other federal health care programs. Remuneration has been broadly defined to include anything of value, including but not limited to cash, improper discounts, and free or reduced price items and services. A person or entity does not need to have actual knowledge of the statute or specific intent to violate it in order to have committed a violation. Further, courts have found that if “one purpose” of remuneration is to induce referrals, the federal Anti-Kickback Statute is violated.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but the exceptions and safe harbors are drawn narrowly and require strict compliance in order to offer protection. A claim including items or services resulting from a violation of the federal Anti- Kickback Statute constitutes a false or fraudulent claim for purposes of the FCA. Many states have similar laws that apply to their state health care programs as well as private payors. Violations of anti-kickback and other applicable laws can result in exclusion from federal health care programs and substantial civil and criminal penalties.</w:t>
      </w:r>
    </w:p>
    <w:p>
      <w:pPr>
        <w:spacing w:after="0" w:line="201"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The 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The FCA has been used to prosecute persons submitting claims for payment that are inaccurate or fraudulent, that are for services not provided as claimed, or for services that are not medically necessary. The FCA includes a whistleblower provision that allows individuals to bring actions on behalf of the federal government and share a portion of the recovery of successful claims. Some state law equivalents of the above federal laws, such as the Anti-Kickback Statute and FCA, apply to items or services regardless of</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760"/>
          </w:cols>
          <w:pgMar w:left="540" w:top="1349" w:right="580" w:bottom="0" w:gutter="0" w:footer="0" w:header="0"/>
          <w:type w:val="continuous"/>
        </w:sectPr>
      </w:pPr>
    </w:p>
    <w:bookmarkStart w:id="58" w:name="page59"/>
    <w:bookmarkEnd w:id="58"/>
    <w:p>
      <w:pPr>
        <w:ind w:right="120"/>
        <w:spacing w:after="0" w:line="278" w:lineRule="auto"/>
        <w:rPr>
          <w:sz w:val="20"/>
          <w:szCs w:val="20"/>
          <w:color w:val="auto"/>
        </w:rPr>
      </w:pPr>
      <w:r>
        <w:rPr>
          <w:rFonts w:ascii="Times New Roman" w:cs="Times New Roman" w:eastAsia="Times New Roman" w:hAnsi="Times New Roman"/>
          <w:sz w:val="20"/>
          <w:szCs w:val="20"/>
          <w:color w:val="auto"/>
        </w:rPr>
        <w:t>whether the good or service was reimbursed by a government program, so called all- payor laws. These all-payor laws could apply to our sales and marketing activities even if the Anti-Kickback Statute and FCA laws are inapplicable.</w:t>
      </w:r>
    </w:p>
    <w:p>
      <w:pPr>
        <w:spacing w:after="0" w:line="168" w:lineRule="exact"/>
        <w:rPr>
          <w:sz w:val="20"/>
          <w:szCs w:val="20"/>
          <w:color w:val="auto"/>
        </w:rPr>
      </w:pPr>
    </w:p>
    <w:p>
      <w:pPr>
        <w:ind w:right="80" w:firstLine="360"/>
        <w:spacing w:after="0" w:line="245" w:lineRule="auto"/>
        <w:rPr>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202" w:lineRule="exact"/>
        <w:rPr>
          <w:sz w:val="20"/>
          <w:szCs w:val="20"/>
          <w:color w:val="auto"/>
        </w:rPr>
      </w:pPr>
    </w:p>
    <w:p>
      <w:pPr>
        <w:ind w:right="20" w:firstLine="361"/>
        <w:spacing w:after="0" w:line="243" w:lineRule="auto"/>
        <w:rPr>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of 2009, or HITECH, and their implementing regulations, and as amended again by the Final HIPAA Omnibus Rule, published in January 2013, which imposes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that perform certain services involving the use or disclosure of individually identifiable health information also implicate our business.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to other federal laws, state laws and foreign laws, such as the General Data Protection Regulation in the European Union, or the GDPR, create the potential for substantial penalties in the event of any non-compliance with the applicable data privacy and data protection laws.</w:t>
      </w:r>
    </w:p>
    <w:p>
      <w:pPr>
        <w:spacing w:after="0" w:line="209" w:lineRule="exact"/>
        <w:rPr>
          <w:sz w:val="20"/>
          <w:szCs w:val="20"/>
          <w:color w:val="auto"/>
        </w:rPr>
      </w:pPr>
    </w:p>
    <w:p>
      <w:pPr>
        <w:ind w:right="140" w:firstLine="360"/>
        <w:spacing w:after="0" w:line="246" w:lineRule="auto"/>
        <w:rPr>
          <w:sz w:val="20"/>
          <w:szCs w:val="20"/>
          <w:color w:val="auto"/>
        </w:rPr>
      </w:pPr>
      <w:r>
        <w:rPr>
          <w:rFonts w:ascii="Times New Roman" w:cs="Times New Roman" w:eastAsia="Times New Roman" w:hAnsi="Times New Roman"/>
          <w:sz w:val="20"/>
          <w:szCs w:val="20"/>
          <w:color w:val="auto"/>
        </w:rPr>
        <w:t>The federal Physician Payment Sunshine Act, which requires manufacturers of drugs, devices, biologicals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certain non-physician providers such as physician assistants and nurse practitioners certain non-physician providers such as physician assistants and nurse practitioners, and teaching hospitals, as well as ownership and investment interests held by physicians and their immediate family members.</w:t>
      </w:r>
    </w:p>
    <w:p>
      <w:pPr>
        <w:spacing w:after="0" w:line="201" w:lineRule="exact"/>
        <w:rPr>
          <w:sz w:val="20"/>
          <w:szCs w:val="20"/>
          <w:color w:val="auto"/>
        </w:rPr>
      </w:pPr>
    </w:p>
    <w:p>
      <w:pPr>
        <w:ind w:firstLine="361"/>
        <w:spacing w:after="0" w:line="247" w:lineRule="auto"/>
        <w:rPr>
          <w:sz w:val="20"/>
          <w:szCs w:val="20"/>
          <w:color w:val="auto"/>
        </w:rPr>
      </w:pPr>
      <w:r>
        <w:rPr>
          <w:rFonts w:ascii="Times New Roman" w:cs="Times New Roman" w:eastAsia="Times New Roman" w:hAnsi="Times New Roman"/>
          <w:sz w:val="20"/>
          <w:szCs w:val="20"/>
          <w:color w:val="auto"/>
        </w:rPr>
        <w:t>The scope and enforcement of each of these laws is uncertain and subject to rapid change in the current environment of healthcare reform, especially in light of the lack of applicable precedent and regulatory guidance. Federal and state enforcement bodies have recently increased their scrutiny of interactions between healthcare companies, healthcare providers and other third parties, including charitable foundations, which has led to a number of investigations, prosecutions, convictions and settlements in the healthcare industry. Responding to investigations can be time- and resource-consuming and can divert management’s attention from the business. Any such investigation or settlement could increase our costs or otherwise have an adverse effect on our business.</w:t>
      </w:r>
    </w:p>
    <w:p>
      <w:pPr>
        <w:spacing w:after="0" w:line="199" w:lineRule="exact"/>
        <w:rPr>
          <w:sz w:val="20"/>
          <w:szCs w:val="20"/>
          <w:color w:val="auto"/>
        </w:rPr>
      </w:pPr>
    </w:p>
    <w:p>
      <w:pPr>
        <w:ind w:right="20" w:firstLine="360"/>
        <w:spacing w:after="0" w:line="244" w:lineRule="auto"/>
        <w:rPr>
          <w:sz w:val="20"/>
          <w:szCs w:val="20"/>
          <w:color w:val="auto"/>
        </w:rPr>
      </w:pPr>
      <w:r>
        <w:rPr>
          <w:rFonts w:ascii="Times New Roman" w:cs="Times New Roman" w:eastAsia="Times New Roman" w:hAnsi="Times New Roman"/>
          <w:sz w:val="20"/>
          <w:szCs w:val="20"/>
          <w:color w:val="auto"/>
        </w:rPr>
        <w:t>If our marketing or other arrangements were determined to violate anti-kickback or related laws, including the FCA or an all-payor law, then we could be subject to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the business. Prohibitions or restrictions on sales or withdrawal of future marketed products could materially affect our business in an adverse way. Efforts to ensure that our business arrangements will comply with applicable healthcare laws may involve substantial costs.</w:t>
      </w:r>
    </w:p>
    <w:p>
      <w:pPr>
        <w:spacing w:after="0" w:line="205" w:lineRule="exact"/>
        <w:rPr>
          <w:sz w:val="20"/>
          <w:szCs w:val="20"/>
          <w:color w:val="auto"/>
        </w:rPr>
      </w:pPr>
    </w:p>
    <w:p>
      <w:pPr>
        <w:ind w:right="20" w:firstLine="361"/>
        <w:spacing w:after="0" w:line="247" w:lineRule="auto"/>
        <w:rPr>
          <w:sz w:val="20"/>
          <w:szCs w:val="20"/>
          <w:color w:val="auto"/>
        </w:rPr>
      </w:pPr>
      <w:r>
        <w:rPr>
          <w:rFonts w:ascii="Times New Roman" w:cs="Times New Roman" w:eastAsia="Times New Roman" w:hAnsi="Times New Roman"/>
          <w:sz w:val="20"/>
          <w:szCs w:val="20"/>
          <w:color w:val="auto"/>
        </w:rPr>
        <w:t>State and federal authorities have aggressively targeted pharmaceutical companies for alleged violations of these anti-fraud statutes, based on improper research or consulting contracts with doctors, certain marketing arrangements with pharmacies and other healthcare providers that rely on volume- based pricing, off-label marketing schemes, and other improper promotional practices. Companies targeted in such prosecutions have paid substantial fines, have been ordered to implement extensive corrective action plans, and have in many cases become subject to consent decrees severely restricting the manner in which they conduct their business, among other consequences. Additionally, federal and state regulators have brought criminal actions against individual employees</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780"/>
          </w:cols>
          <w:pgMar w:left="540" w:top="1349" w:right="560" w:bottom="0" w:gutter="0" w:footer="0" w:header="0"/>
          <w:type w:val="continuous"/>
        </w:sectPr>
      </w:pPr>
    </w:p>
    <w:bookmarkStart w:id="59" w:name="page60"/>
    <w:bookmarkEnd w:id="59"/>
    <w:p>
      <w:pPr>
        <w:ind w:right="100"/>
        <w:spacing w:after="0" w:line="259" w:lineRule="auto"/>
        <w:rPr>
          <w:sz w:val="20"/>
          <w:szCs w:val="20"/>
          <w:color w:val="auto"/>
        </w:rPr>
      </w:pPr>
      <w:r>
        <w:rPr>
          <w:rFonts w:ascii="Times New Roman" w:cs="Times New Roman" w:eastAsia="Times New Roman" w:hAnsi="Times New Roman"/>
          <w:sz w:val="20"/>
          <w:szCs w:val="20"/>
          <w:color w:val="auto"/>
        </w:rPr>
        <w:t>responsible for alleged violations. If we become the target of such an investigation or prosecution based on our contractual relationships with providers or institutions or our marketing and promotional practices, we could face similar sanctions, which would materially harm our business.</w:t>
      </w:r>
    </w:p>
    <w:p>
      <w:pPr>
        <w:spacing w:after="0" w:line="186"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Also, the FCPA and similar worldwide anti-bribery laws generally prohibit companies and their intermediaries from making improper payments to non-United States officials for the purpose of obtaining or retaining business. Our internal control policies and procedures may not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9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7"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R&amp;D activities, is subject to the political process, which is inherently fluid and unpredictable. Disruptions at the FDA and other agencies may also slow the time necessary for new drugs or modifications to approved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which have led to substantial personnel changes, and it remains unclear the degree to which these efforts may limit or otherwise adversely affect the FDA’s ability to conduct routine activities.</w:t>
      </w:r>
    </w:p>
    <w:p>
      <w:pPr>
        <w:spacing w:after="0" w:line="203" w:lineRule="exact"/>
        <w:rPr>
          <w:sz w:val="20"/>
          <w:szCs w:val="20"/>
          <w:color w:val="auto"/>
        </w:rPr>
      </w:pPr>
    </w:p>
    <w:p>
      <w:pPr>
        <w:ind w:right="200" w:firstLine="360"/>
        <w:spacing w:after="0" w:line="253" w:lineRule="auto"/>
        <w:rPr>
          <w:sz w:val="20"/>
          <w:szCs w:val="20"/>
          <w:color w:val="auto"/>
        </w:rPr>
      </w:pPr>
      <w:r>
        <w:rPr>
          <w:rFonts w:ascii="Times New Roman" w:cs="Times New Roman" w:eastAsia="Times New Roman" w:hAnsi="Times New Roman"/>
          <w:sz w:val="20"/>
          <w:szCs w:val="20"/>
          <w:color w:val="auto"/>
        </w:rPr>
        <w:t>If a prolonged government shutdown occurs, or if funding shortages, staffing limitations or similar factors hinder or prevent the FDA or other regulatory authorities from conducting their regular inspections, reviews, or other regulatory activities, such events could significantly impact the ability of the FDA or other such regulatory authorities to timely review and process our regulatory submissions, which could have a material adverse effect on our business.</w:t>
      </w:r>
    </w:p>
    <w:p>
      <w:pPr>
        <w:spacing w:after="0" w:line="19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stringent and often unsettled privacy laws, information security laws, regulations, policies and contractual obligations related to data privacy and security and changes in such laws, regulations, policies and contractual obligations could adversely affect our business.</w:t>
      </w:r>
    </w:p>
    <w:p>
      <w:pPr>
        <w:spacing w:after="0" w:line="188" w:lineRule="exact"/>
        <w:rPr>
          <w:sz w:val="20"/>
          <w:szCs w:val="20"/>
          <w:color w:val="auto"/>
        </w:rPr>
      </w:pPr>
    </w:p>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We are subject to data privacy and protection laws and regulations that apply to the collection, transmission, storage and use of personally identifying information or personal data,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200" w:lineRule="exact"/>
        <w:rPr>
          <w:sz w:val="20"/>
          <w:szCs w:val="20"/>
          <w:color w:val="auto"/>
        </w:rPr>
      </w:pPr>
    </w:p>
    <w:p>
      <w:pPr>
        <w:ind w:firstLine="361"/>
        <w:spacing w:after="0" w:line="261" w:lineRule="auto"/>
        <w:rPr>
          <w:sz w:val="20"/>
          <w:szCs w:val="20"/>
          <w:color w:val="auto"/>
        </w:rPr>
      </w:pPr>
      <w:r>
        <w:rPr>
          <w:rFonts w:ascii="Times New Roman" w:cs="Times New Roman" w:eastAsia="Times New Roman" w:hAnsi="Times New Roman"/>
          <w:sz w:val="19"/>
          <w:szCs w:val="19"/>
          <w:color w:val="auto"/>
        </w:rPr>
        <w:t>There are numerous United States federal and state laws and regulations relating to privacy and security of personal information. Data privacy remains an evolving landscape at both the domestic and international level, with new regulations coming into effect. For example, the State of California enacted the California Consumer Privacy Act of 2018, or CCPA, which went into effect on January 1, 2020 and requires companies that process information on California residents to make new disclosures to consumers about their data collection, use and sharing practices, allow consumers to opt out of certain data sharing with third parties and provide a new cause of action for data breaches. Additionally, California voters approved a new privacy law, the California Privacy Rights Act, or CPRA, in the November 3, 2020 election. Effective starting on January 1, 2023, the CPRA significantly modifies the CCPA, including by</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760"/>
          </w:cols>
          <w:pgMar w:left="540" w:top="1349" w:right="580" w:bottom="0" w:gutter="0" w:footer="0" w:header="0"/>
          <w:type w:val="continuous"/>
        </w:sectPr>
      </w:pPr>
    </w:p>
    <w:bookmarkStart w:id="60" w:name="page61"/>
    <w:bookmarkEnd w:id="60"/>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expanding consumers’ rights with respect to certain sensitive personal information. The CPRA also created a new state agency that is vested with authority to implement and enforce the CCPA and the CPRA. New legislation proposed or enacted in various other states will continue to shape the data privacy environment nationally.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198"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In addition, all 50 states and the District of Columbia have enacted breach notification laws that may require us to notify patients,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w:t>
      </w:r>
    </w:p>
    <w:p>
      <w:pPr>
        <w:spacing w:after="0" w:line="197"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color w:val="auto"/>
        </w:rPr>
        <w:t>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w:t>
      </w:r>
    </w:p>
    <w:p>
      <w:pPr>
        <w:spacing w:after="0" w:line="193"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20"/>
          <w:szCs w:val="20"/>
          <w:color w:val="auto"/>
        </w:rPr>
        <w:t>In addition, the GDPR became applicable on May 25, 2018 in respect of processing operations carried out in the context of the activities of an establishment in the European Economic Area, or EEA, and any processing relating to the offering of goods or services to individuals in the EEA and/or the monitoring of their behavior in the EEA.</w:t>
      </w:r>
    </w:p>
    <w:p>
      <w:pPr>
        <w:spacing w:after="0" w:line="186" w:lineRule="exact"/>
        <w:rPr>
          <w:sz w:val="20"/>
          <w:szCs w:val="20"/>
          <w:color w:val="auto"/>
        </w:rPr>
      </w:pPr>
    </w:p>
    <w:p>
      <w:pPr>
        <w:ind w:right="180" w:firstLine="361"/>
        <w:spacing w:after="0" w:line="253" w:lineRule="auto"/>
        <w:rPr>
          <w:sz w:val="20"/>
          <w:szCs w:val="20"/>
          <w:color w:val="auto"/>
        </w:rPr>
      </w:pPr>
      <w:r>
        <w:rPr>
          <w:rFonts w:ascii="Times New Roman" w:cs="Times New Roman" w:eastAsia="Times New Roman" w:hAnsi="Times New Roman"/>
          <w:sz w:val="20"/>
          <w:szCs w:val="20"/>
          <w:color w:val="auto"/>
        </w:rPr>
        <w:t>While we do not at this time collect, store, use or process data on behalf of existing customers or for anyone residing in the United Kingdom or Europe, if we do so in the future, we will be subject to the rigorous and time-intensive policies of the GDPR. There is no assurance that our own limited privacy and security- related safeguards will protect us from all risks associated with data privacy and information security.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 and Ownership of Our Securities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common stock may be volatile.</w:t>
      </w:r>
    </w:p>
    <w:p>
      <w:pPr>
        <w:spacing w:after="0" w:line="239" w:lineRule="exact"/>
        <w:rPr>
          <w:sz w:val="20"/>
          <w:szCs w:val="20"/>
          <w:color w:val="auto"/>
        </w:rPr>
      </w:pPr>
    </w:p>
    <w:p>
      <w:pPr>
        <w:ind w:right="100" w:firstLine="360"/>
        <w:spacing w:after="0" w:line="305" w:lineRule="auto"/>
        <w:rPr>
          <w:sz w:val="20"/>
          <w:szCs w:val="20"/>
          <w:color w:val="auto"/>
        </w:rPr>
      </w:pPr>
      <w:r>
        <w:rPr>
          <w:rFonts w:ascii="Times New Roman" w:cs="Times New Roman" w:eastAsia="Times New Roman" w:hAnsi="Times New Roman"/>
          <w:sz w:val="19"/>
          <w:szCs w:val="19"/>
          <w:color w:val="auto"/>
        </w:rPr>
        <w:t>The price of our common stock has been and is likely to continue to be volatile. The market price for our common stock may be influenced by many factors, including the other risks described in this section of the Report entitled “Risk Factors” and the following:</w:t>
      </w:r>
    </w:p>
    <w:p>
      <w:pPr>
        <w:spacing w:after="0" w:line="160" w:lineRule="exact"/>
        <w:rPr>
          <w:sz w:val="20"/>
          <w:szCs w:val="20"/>
          <w:color w:val="auto"/>
        </w:rPr>
      </w:pPr>
    </w:p>
    <w:p>
      <w:pPr>
        <w:ind w:left="720" w:hanging="361"/>
        <w:spacing w:after="0"/>
        <w:tabs>
          <w:tab w:leader="none" w:pos="72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advance our current or potential future product candidates throughout applicable clinical studies;</w:t>
      </w:r>
    </w:p>
    <w:p>
      <w:pPr>
        <w:spacing w:after="0" w:line="21" w:lineRule="exact"/>
        <w:rPr>
          <w:rFonts w:ascii="Symbol" w:cs="Symbol" w:eastAsia="Symbol" w:hAnsi="Symbol"/>
          <w:sz w:val="20"/>
          <w:szCs w:val="20"/>
          <w:color w:val="auto"/>
        </w:rPr>
      </w:pPr>
    </w:p>
    <w:p>
      <w:pPr>
        <w:ind w:left="720" w:hanging="361"/>
        <w:spacing w:after="0" w:line="238" w:lineRule="auto"/>
        <w:tabs>
          <w:tab w:leader="none" w:pos="72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results of preclinical studies for our current or potential future product candidates, or those of our competitors;</w:t>
      </w:r>
    </w:p>
    <w:p>
      <w:pPr>
        <w:ind w:left="720" w:right="860" w:hanging="361"/>
        <w:spacing w:after="0" w:line="239" w:lineRule="auto"/>
        <w:tabs>
          <w:tab w:leader="none" w:pos="72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or legal developments in the United States and other countries, especially changes in laws or regulations applicable to our future products;</w:t>
      </w:r>
    </w:p>
    <w:p>
      <w:pPr>
        <w:spacing w:after="0" w:line="1" w:lineRule="exact"/>
        <w:rPr>
          <w:rFonts w:ascii="Symbol" w:cs="Symbol" w:eastAsia="Symbol" w:hAnsi="Symbol"/>
          <w:sz w:val="20"/>
          <w:szCs w:val="20"/>
          <w:color w:val="auto"/>
        </w:rPr>
      </w:pPr>
    </w:p>
    <w:p>
      <w:pPr>
        <w:ind w:left="720" w:hanging="361"/>
        <w:spacing w:after="0"/>
        <w:tabs>
          <w:tab w:leader="none" w:pos="72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success of competitive products or technologies;</w:t>
      </w:r>
    </w:p>
    <w:p>
      <w:pPr>
        <w:ind w:left="720" w:right="200" w:hanging="361"/>
        <w:spacing w:after="0" w:line="239" w:lineRule="auto"/>
        <w:tabs>
          <w:tab w:leader="none" w:pos="72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introductions and announcements of new product candidates by us or our competitors, and the timing of these introductions or announcements;</w:t>
      </w:r>
    </w:p>
    <w:p>
      <w:pPr>
        <w:spacing w:after="0" w:line="1" w:lineRule="exact"/>
        <w:rPr>
          <w:rFonts w:ascii="Symbol" w:cs="Symbol" w:eastAsia="Symbol" w:hAnsi="Symbol"/>
          <w:sz w:val="20"/>
          <w:szCs w:val="20"/>
          <w:color w:val="auto"/>
        </w:rPr>
      </w:pPr>
    </w:p>
    <w:p>
      <w:pPr>
        <w:ind w:left="720" w:right="120" w:hanging="361"/>
        <w:spacing w:after="0"/>
        <w:tabs>
          <w:tab w:leader="none" w:pos="72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actions taken by regulatory authorities with respect to our future product candidates, clinical trials, manufacturing process or sales and marketing terms;</w:t>
      </w:r>
    </w:p>
    <w:p>
      <w:pPr>
        <w:ind w:left="720" w:hanging="361"/>
        <w:spacing w:after="0" w:line="238" w:lineRule="auto"/>
        <w:tabs>
          <w:tab w:leader="none" w:pos="72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actual or anticipated variations in our financial results or those of companies that are perceived to be similar to us;</w:t>
      </w:r>
    </w:p>
    <w:p>
      <w:pPr>
        <w:ind w:left="720" w:hanging="361"/>
        <w:spacing w:after="0"/>
        <w:tabs>
          <w:tab w:leader="none" w:pos="72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success of our efforts to acquire or in-license additional technologies, products or product candidates;</w:t>
      </w:r>
    </w:p>
    <w:p>
      <w:pPr>
        <w:ind w:left="720" w:right="300" w:hanging="360"/>
        <w:spacing w:after="0" w:line="238" w:lineRule="auto"/>
        <w:tabs>
          <w:tab w:leader="none" w:pos="72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developments concerning any future collaborations, including, but not limited to, those with any sources of manufacturing supply and future commercialization collaborators;</w:t>
      </w:r>
    </w:p>
    <w:p>
      <w:pPr>
        <w:spacing w:after="0" w:line="1" w:lineRule="exact"/>
        <w:rPr>
          <w:rFonts w:ascii="Symbol" w:cs="Symbol" w:eastAsia="Symbol" w:hAnsi="Symbol"/>
          <w:sz w:val="20"/>
          <w:szCs w:val="20"/>
          <w:color w:val="auto"/>
        </w:rPr>
      </w:pPr>
    </w:p>
    <w:p>
      <w:pPr>
        <w:ind w:left="720" w:hanging="360"/>
        <w:spacing w:after="0"/>
        <w:tabs>
          <w:tab w:leader="none" w:pos="72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market conditions in the pharmaceutical and biotechnology sectors;</w:t>
      </w:r>
    </w:p>
    <w:p>
      <w:pPr>
        <w:ind w:left="720" w:right="340" w:hanging="360"/>
        <w:spacing w:after="0" w:line="239" w:lineRule="auto"/>
        <w:tabs>
          <w:tab w:leader="none" w:pos="72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market conditions and sentiment involving companies that have recently completed a business combination with a special purpose acquisition company (“SPAC”);</w:t>
      </w:r>
    </w:p>
    <w:p>
      <w:pPr>
        <w:spacing w:after="0" w:line="1" w:lineRule="exact"/>
        <w:rPr>
          <w:rFonts w:ascii="Symbol" w:cs="Symbol" w:eastAsia="Symbol" w:hAnsi="Symbol"/>
          <w:sz w:val="20"/>
          <w:szCs w:val="20"/>
          <w:color w:val="auto"/>
        </w:rPr>
      </w:pPr>
    </w:p>
    <w:p>
      <w:pPr>
        <w:ind w:left="720" w:right="1200" w:hanging="360"/>
        <w:spacing w:after="0" w:line="239" w:lineRule="auto"/>
        <w:tabs>
          <w:tab w:leader="none" w:pos="72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announcements by us or our competitors of significant acquisitions, strategic alliances, joint ventures or capital commitments;</w:t>
      </w:r>
    </w:p>
    <w:p>
      <w:pPr>
        <w:spacing w:after="0" w:line="1" w:lineRule="exact"/>
        <w:rPr>
          <w:rFonts w:ascii="Symbol" w:cs="Symbol" w:eastAsia="Symbol" w:hAnsi="Symbol"/>
          <w:sz w:val="20"/>
          <w:szCs w:val="20"/>
          <w:color w:val="auto"/>
        </w:rPr>
      </w:pPr>
    </w:p>
    <w:p>
      <w:pPr>
        <w:ind w:left="720" w:right="20" w:hanging="360"/>
        <w:spacing w:after="0" w:line="239" w:lineRule="auto"/>
        <w:tabs>
          <w:tab w:leader="none" w:pos="72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developments or disputes concerning patents or other proprietary rights, including patents, litigation matters and our ability to obtain patent protection for its products;</w:t>
      </w:r>
    </w:p>
    <w:p>
      <w:pPr>
        <w:spacing w:after="0" w:line="1" w:lineRule="exact"/>
        <w:rPr>
          <w:rFonts w:ascii="Symbol" w:cs="Symbol" w:eastAsia="Symbol" w:hAnsi="Symbol"/>
          <w:sz w:val="20"/>
          <w:szCs w:val="20"/>
          <w:color w:val="auto"/>
        </w:rPr>
      </w:pPr>
    </w:p>
    <w:p>
      <w:pPr>
        <w:ind w:left="720" w:hanging="360"/>
        <w:spacing w:after="0"/>
        <w:tabs>
          <w:tab w:leader="none" w:pos="72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ability or inability to raise additional capital and the terms on which it is raised;</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800"/>
          </w:cols>
          <w:pgMar w:left="540" w:top="1349" w:right="540" w:bottom="0" w:gutter="0" w:footer="0" w:header="0"/>
          <w:type w:val="continuous"/>
        </w:sectPr>
      </w:pPr>
    </w:p>
    <w:bookmarkStart w:id="61" w:name="page62"/>
    <w:bookmarkEnd w:id="61"/>
    <w:p>
      <w:pPr>
        <w:ind w:left="720" w:hanging="360"/>
        <w:spacing w:after="0"/>
        <w:tabs>
          <w:tab w:leader="none" w:pos="72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21" w:lineRule="exact"/>
        <w:rPr>
          <w:rFonts w:ascii="Symbol" w:cs="Symbol" w:eastAsia="Symbol" w:hAnsi="Symbol"/>
          <w:sz w:val="20"/>
          <w:szCs w:val="20"/>
          <w:color w:val="auto"/>
        </w:rPr>
      </w:pPr>
    </w:p>
    <w:p>
      <w:pPr>
        <w:ind w:left="720" w:hanging="360"/>
        <w:spacing w:after="0"/>
        <w:tabs>
          <w:tab w:leader="none" w:pos="72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the structure of healthcare payment systems;</w:t>
      </w:r>
    </w:p>
    <w:p>
      <w:pPr>
        <w:ind w:left="720" w:right="620" w:hanging="360"/>
        <w:spacing w:after="0" w:line="239" w:lineRule="auto"/>
        <w:tabs>
          <w:tab w:leader="none" w:pos="72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actual or anticipated changes in earnings estimates or changes in stock market analyst recommendations regarding our common stock, other comparable companies or the industry generally;</w:t>
      </w:r>
    </w:p>
    <w:p>
      <w:pPr>
        <w:spacing w:after="0" w:line="1" w:lineRule="exact"/>
        <w:rPr>
          <w:rFonts w:ascii="Symbol" w:cs="Symbol" w:eastAsia="Symbol" w:hAnsi="Symbol"/>
          <w:sz w:val="20"/>
          <w:szCs w:val="20"/>
          <w:color w:val="auto"/>
        </w:rPr>
      </w:pPr>
    </w:p>
    <w:p>
      <w:pPr>
        <w:ind w:left="720" w:right="140" w:hanging="360"/>
        <w:spacing w:after="0" w:line="239" w:lineRule="auto"/>
        <w:tabs>
          <w:tab w:leader="none" w:pos="72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failure or the failure of our competitors to meet analysts’ projections or guidance that our or our competitors may give to the market;</w:t>
      </w:r>
    </w:p>
    <w:p>
      <w:pPr>
        <w:spacing w:after="0" w:line="1" w:lineRule="exact"/>
        <w:rPr>
          <w:rFonts w:ascii="Symbol" w:cs="Symbol" w:eastAsia="Symbol" w:hAnsi="Symbol"/>
          <w:sz w:val="20"/>
          <w:szCs w:val="20"/>
          <w:color w:val="auto"/>
        </w:rPr>
      </w:pPr>
    </w:p>
    <w:p>
      <w:pPr>
        <w:ind w:left="720" w:hanging="360"/>
        <w:spacing w:after="0"/>
        <w:tabs>
          <w:tab w:leader="none" w:pos="72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fluctuations in the valuation of companies perceived by investors to be comparable to us;</w:t>
      </w:r>
    </w:p>
    <w:p>
      <w:pPr>
        <w:ind w:left="720" w:hanging="360"/>
        <w:spacing w:after="0"/>
        <w:tabs>
          <w:tab w:leader="none" w:pos="72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announcement and expectation of additional financing efforts;</w:t>
      </w:r>
    </w:p>
    <w:p>
      <w:pPr>
        <w:ind w:left="720" w:hanging="360"/>
        <w:spacing w:after="0" w:line="238" w:lineRule="auto"/>
        <w:tabs>
          <w:tab w:leader="none" w:pos="72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speculation in the press or investment community;</w:t>
      </w:r>
    </w:p>
    <w:p>
      <w:pPr>
        <w:ind w:left="720" w:hanging="360"/>
        <w:spacing w:after="0" w:line="239" w:lineRule="auto"/>
        <w:tabs>
          <w:tab w:leader="none" w:pos="72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trading volume of our common stock, including as a result of the significant number of shares of our common stock (i) that the Sellers retained pursuant to the FPA Termination Agreements and may resell in the future, and (ii) that Daewoong may be issued upon any conversion of the Convertible Notes and may resell in the future;</w:t>
      </w:r>
    </w:p>
    <w:p>
      <w:pPr>
        <w:spacing w:after="0" w:line="2" w:lineRule="exact"/>
        <w:rPr>
          <w:rFonts w:ascii="Symbol" w:cs="Symbol" w:eastAsia="Symbol" w:hAnsi="Symbol"/>
          <w:sz w:val="20"/>
          <w:szCs w:val="20"/>
          <w:color w:val="auto"/>
        </w:rPr>
      </w:pPr>
    </w:p>
    <w:p>
      <w:pPr>
        <w:ind w:left="720" w:hanging="360"/>
        <w:spacing w:after="0"/>
        <w:tabs>
          <w:tab w:leader="none" w:pos="72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sales of our common stock by us or by our stockholders;</w:t>
      </w:r>
    </w:p>
    <w:p>
      <w:pPr>
        <w:ind w:left="720" w:hanging="360"/>
        <w:spacing w:after="0" w:line="238" w:lineRule="auto"/>
        <w:tabs>
          <w:tab w:leader="none" w:pos="72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concentrated ownership of our common stock;</w:t>
      </w:r>
    </w:p>
    <w:p>
      <w:pPr>
        <w:ind w:left="720" w:hanging="360"/>
        <w:spacing w:after="0"/>
        <w:tabs>
          <w:tab w:leader="none" w:pos="72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accounting principles;</w:t>
      </w:r>
    </w:p>
    <w:p>
      <w:pPr>
        <w:ind w:left="720" w:hanging="360"/>
        <w:spacing w:after="0"/>
        <w:tabs>
          <w:tab w:leader="none" w:pos="72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terrorist acts, acts of war or periods of widespread civil unrest;</w:t>
      </w:r>
    </w:p>
    <w:p>
      <w:pPr>
        <w:ind w:left="720" w:hanging="360"/>
        <w:spacing w:after="0" w:line="238" w:lineRule="auto"/>
        <w:tabs>
          <w:tab w:leader="none" w:pos="72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natural disasters, public health crises and other calamities; and</w:t>
      </w:r>
    </w:p>
    <w:p>
      <w:pPr>
        <w:ind w:left="720" w:hanging="360"/>
        <w:spacing w:after="0"/>
        <w:tabs>
          <w:tab w:leader="none" w:pos="72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general economic, industry and market conditions.</w:t>
      </w:r>
    </w:p>
    <w:p>
      <w:pPr>
        <w:spacing w:after="0" w:line="123" w:lineRule="exact"/>
        <w:rPr>
          <w:sz w:val="20"/>
          <w:szCs w:val="20"/>
          <w:color w:val="auto"/>
        </w:rPr>
      </w:pPr>
    </w:p>
    <w:p>
      <w:pPr>
        <w:ind w:firstLine="361"/>
        <w:spacing w:after="0" w:line="252" w:lineRule="auto"/>
        <w:rPr>
          <w:sz w:val="20"/>
          <w:szCs w:val="20"/>
          <w:color w:val="auto"/>
        </w:rPr>
      </w:pPr>
      <w:r>
        <w:rPr>
          <w:rFonts w:ascii="Times New Roman" w:cs="Times New Roman" w:eastAsia="Times New Roman" w:hAnsi="Times New Roman"/>
          <w:sz w:val="20"/>
          <w:szCs w:val="20"/>
          <w:color w:val="auto"/>
        </w:rPr>
        <w:t>In addition, the stock markets in general, and the markets for SPAC post-business combination businesses, pharmaceutical, biopharmaceutical and biotechnology stocks in particular, have experienced extreme volatility. This volatility can often be unrelated to the operating performance of the underlying business. These broad market and industry factors may seriously harm the market price of our common stock, regardless of AEON’s operating performance.</w:t>
      </w:r>
    </w:p>
    <w:p>
      <w:pPr>
        <w:spacing w:after="0" w:line="193"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Sales of a substantial number of our securities in the public market by our existing securityholders could cause the price of our common stock to fall.</w:t>
      </w:r>
    </w:p>
    <w:p>
      <w:pPr>
        <w:spacing w:after="0" w:line="168"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20"/>
          <w:szCs w:val="20"/>
          <w:color w:val="auto"/>
        </w:rPr>
        <w:t>Sales of a substantial number of our shares of common stock in the public market by our existing security holders, or the perception that those sales might occur, could depress the market price of our common stock and could impair our ability to raise capital through the sale of additional equity securities. The sale of all the securities, particularly at high volumes over a short period of time could result in a significant decline in the public trading price of our securities.</w:t>
      </w:r>
    </w:p>
    <w:p>
      <w:pPr>
        <w:spacing w:after="0" w:line="193" w:lineRule="exact"/>
        <w:rPr>
          <w:sz w:val="20"/>
          <w:szCs w:val="20"/>
          <w:color w:val="auto"/>
        </w:rPr>
      </w:pPr>
    </w:p>
    <w:p>
      <w:pPr>
        <w:ind w:right="360" w:firstLine="360"/>
        <w:spacing w:after="0" w:line="259" w:lineRule="auto"/>
        <w:rPr>
          <w:sz w:val="20"/>
          <w:szCs w:val="20"/>
          <w:color w:val="auto"/>
        </w:rPr>
      </w:pPr>
      <w:r>
        <w:rPr>
          <w:rFonts w:ascii="Times New Roman" w:cs="Times New Roman" w:eastAsia="Times New Roman" w:hAnsi="Times New Roman"/>
          <w:sz w:val="20"/>
          <w:szCs w:val="20"/>
          <w:color w:val="auto"/>
        </w:rPr>
        <w:t>The resale, or expected or potential resale, of a substantial number of our shares of common stock in the public market could adversely affect the market price for our shares of common stock and make it more difficult for you to sell your shares of common stock at times and prices that you feel are appropriate.</w:t>
      </w:r>
    </w:p>
    <w:p>
      <w:pPr>
        <w:spacing w:after="0" w:line="186"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Fluctuations in our stock price may yield material changes in the valuation of the underlying derivatives securities associated with our capital structure.</w:t>
      </w:r>
    </w:p>
    <w:p>
      <w:pPr>
        <w:spacing w:after="0" w:line="168" w:lineRule="exact"/>
        <w:rPr>
          <w:sz w:val="20"/>
          <w:szCs w:val="20"/>
          <w:color w:val="auto"/>
        </w:rPr>
      </w:pPr>
    </w:p>
    <w:p>
      <w:pPr>
        <w:ind w:right="20" w:firstLine="361"/>
        <w:spacing w:after="0" w:line="246" w:lineRule="auto"/>
        <w:rPr>
          <w:sz w:val="20"/>
          <w:szCs w:val="20"/>
          <w:color w:val="auto"/>
        </w:rPr>
      </w:pPr>
      <w:r>
        <w:rPr>
          <w:rFonts w:ascii="Times New Roman" w:cs="Times New Roman" w:eastAsia="Times New Roman" w:hAnsi="Times New Roman"/>
          <w:sz w:val="20"/>
          <w:szCs w:val="20"/>
          <w:color w:val="auto"/>
        </w:rPr>
        <w:t>We currently have multiple financial instruments, including underlying derivatives which we account for in accordance with the Financial Accounting Standards Board (“FASB”) Accounting Standards Codification (“ASC”) 815 Derivatives and Hedging: Embedded Derivatives. In accordance with the guidance, we value these derivatives at each reporting period and recognize the corresponding adjustments to fair value as changes to other income (expense), net in our Statements of Operations. The fair values are estimated using certain pricing models, which involve various inputs, including our current stock price as of the end of each reporting period. Period-over-period fluctuations in our stock price may result in material changes in the fair value of these derivatives, which in turn may materially impact (positively and negatively) our Statements of Operations.</w:t>
      </w:r>
    </w:p>
    <w:p>
      <w:pPr>
        <w:spacing w:after="0" w:line="19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will require additional capital, which additional financing may result in restrictions on our operations or substantial dilution to our stockholders, to support the growth of our business, and this capital might not be available on acceptable terms, if at all.</w:t>
      </w:r>
    </w:p>
    <w:p>
      <w:pPr>
        <w:spacing w:after="0" w:line="167"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To date, our primary sources of capital have been placements of stock and debt financing agreements.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w:t>
      </w:r>
    </w:p>
    <w:p>
      <w:pPr>
        <w:sectPr>
          <w:pgSz w:w="11880" w:h="15480" w:orient="portrait"/>
          <w:cols w:equalWidth="0" w:num="1">
            <w:col w:w="10800"/>
          </w:cols>
          <w:pgMar w:left="540" w:top="1364" w:right="54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800"/>
          </w:cols>
          <w:pgMar w:left="540" w:top="1364" w:right="540" w:bottom="0" w:gutter="0" w:footer="0" w:header="0"/>
          <w:type w:val="continuous"/>
        </w:sectPr>
      </w:pPr>
    </w:p>
    <w:bookmarkStart w:id="62" w:name="page63"/>
    <w:bookmarkEnd w:id="62"/>
    <w:p>
      <w:pPr>
        <w:ind w:right="60"/>
        <w:spacing w:after="0" w:line="259" w:lineRule="auto"/>
        <w:rPr>
          <w:sz w:val="20"/>
          <w:szCs w:val="20"/>
          <w:color w:val="auto"/>
        </w:rPr>
      </w:pPr>
      <w:r>
        <w:rPr>
          <w:rFonts w:ascii="Times New Roman" w:cs="Times New Roman" w:eastAsia="Times New Roman" w:hAnsi="Times New Roman"/>
          <w:sz w:val="20"/>
          <w:szCs w:val="20"/>
          <w:color w:val="auto"/>
        </w:rPr>
        <w:t>condition. If we incur additional debt, the debt holders would have rights senior to holders of common stock to make claims on our assets, and the terms of any debt could restrict our operations. If we undertake discretionary financing by issuing equity securities, our stockholders may experience substantial dilution.</w:t>
      </w:r>
    </w:p>
    <w:p>
      <w:pPr>
        <w:spacing w:after="0" w:line="186" w:lineRule="exact"/>
        <w:rPr>
          <w:sz w:val="20"/>
          <w:szCs w:val="20"/>
          <w:color w:val="auto"/>
        </w:rPr>
      </w:pPr>
    </w:p>
    <w:p>
      <w:pPr>
        <w:ind w:right="60" w:firstLine="361"/>
        <w:spacing w:after="0" w:line="246" w:lineRule="auto"/>
        <w:rPr>
          <w:sz w:val="20"/>
          <w:szCs w:val="20"/>
          <w:color w:val="auto"/>
        </w:rPr>
      </w:pPr>
      <w:r>
        <w:rPr>
          <w:rFonts w:ascii="Times New Roman" w:cs="Times New Roman" w:eastAsia="Times New Roman" w:hAnsi="Times New Roman"/>
          <w:sz w:val="20"/>
          <w:szCs w:val="20"/>
          <w:color w:val="auto"/>
        </w:rPr>
        <w:t>We may sell common stock, convertible securities or other equity securities in one or more transactions at a price per share that is less than the price per share paid by current stockholders. If we sell common stock, convertible securities, or other equity securities in more than one transaction, stockholders may be further diluted by subsequent sales. Additionally, future equity financings may result in new investors receiving rights superior to our existing stockholders.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incur significant costs from class action litigation due to the expected stock volatility.</w:t>
      </w:r>
    </w:p>
    <w:p>
      <w:pPr>
        <w:spacing w:after="0" w:line="239"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The price of common stock may fluctuate for many reasons, including as a result of public announcements regarding the progress of development efforts for our main product candidate, ABP-450, the development efforts of competitors, the addition or departure of key personnel, variations in quarterly operating results and changes in market valuations of biopharmaceutical and biotechnology companies. This risk is especially relevant to us because biopharmaceutical and biotechnology companies have experienced significant stock price volatility in recent years, including since the Closing. In addition, recently there has been significant stock price volatility involving the shares of companies that have recently completed a business combination with a SPAC. When the market price of a stock has been volatile as our common stock’s price may be, holders of that stock have occasionally brought securities class action litigation against the company that issued the stock. Additionally, there has recently been a general increase in litigation against companies that have recently completed a business combination with a SPAC alleging fraud and other claims based on inaccurate or misleading disclosures. If any of our stockholders were to bring a lawsuit of this type against us, even if the lawsuit is without merit, we could incur substantial costs defending the lawsuit. Any such lawsuit could also divert the time and attention of management.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Any failure to meet the continued listing requirements of NYSE American could result in a delisting of our common stock.</w:t>
      </w:r>
    </w:p>
    <w:p>
      <w:pPr>
        <w:spacing w:after="0" w:line="239"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19"/>
          <w:szCs w:val="19"/>
          <w:color w:val="auto"/>
        </w:rPr>
        <w:t>On February 3, 2025, the Company received a written notice of non-compliance from the NYSE American stating that the Company is not in compliance with continued listing standards of Section 1003(a)(i) of the NYSE American Company Guide (the “Company Guide”). The Company has been provided with a compliance period of 18 months to regain compliance. To regain compliance, the Company submitted a plan by March 5, 2025, advising of actions taken or will be taken to regain compliance with the continued listings standards of the Company Guide by August 3, 2026 (the “Plan”). The Plan was approved and subject to periodic reviews by the NYSE American to monitor compliance with the Plan. If the Company does not submit a plan or if the Plan is not accepted, or if the Plan is accepted but the Company is not in compliance with the Minimum Requirement by August 3, 2026, or if the Company does not make progress consistent with the Plan, then the NYSE American will initiate delisting proceedings as appropriate.</w:t>
      </w:r>
    </w:p>
    <w:p>
      <w:pPr>
        <w:spacing w:after="0" w:line="186" w:lineRule="exact"/>
        <w:rPr>
          <w:sz w:val="20"/>
          <w:szCs w:val="20"/>
          <w:color w:val="auto"/>
        </w:rPr>
      </w:pPr>
    </w:p>
    <w:p>
      <w:pPr>
        <w:ind w:right="20" w:firstLine="360"/>
        <w:spacing w:after="0" w:line="243" w:lineRule="auto"/>
        <w:rPr>
          <w:sz w:val="20"/>
          <w:szCs w:val="20"/>
          <w:color w:val="auto"/>
        </w:rPr>
      </w:pPr>
      <w:r>
        <w:rPr>
          <w:rFonts w:ascii="Times New Roman" w:cs="Times New Roman" w:eastAsia="Times New Roman" w:hAnsi="Times New Roman"/>
          <w:sz w:val="20"/>
          <w:szCs w:val="20"/>
          <w:color w:val="auto"/>
        </w:rPr>
        <w:t>If we fail to satisfy the continued listing requirements of NYSE American, such as failing to satisfy any applicable corporate governance requirements or the minimum closing bid price requirement, NYSE American may take steps to delist our securities. Such a delisting would likely have a negative effect on the price of our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NYSE American minimum bid price requirement or prevent future non-compliance with NYSE American’s listing requirements. Additionally, if our securities are not listed on, or become delisted from, NYSE American for any reason, and are quoted on the OTC Bulletin Board, an inter-dealer automated quotation system for equity securities that is not a national securities exchange, the liquidity and price of our securities may be more limited than if our securities were quoted or listed on NYSE American or another national securities exchange. You may be unable to sell your securities unless a market can be established or sustained.</w:t>
      </w:r>
    </w:p>
    <w:p>
      <w:pPr>
        <w:spacing w:after="0" w:line="20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it cannot be certain if the reduced disclosure requirements applicable to emerging growth companies will make our common stock less attractive to investors, which may make it more difficult to compare our performance with other public companies.</w:t>
      </w:r>
    </w:p>
    <w:p>
      <w:pPr>
        <w:spacing w:after="0" w:line="188" w:lineRule="exact"/>
        <w:rPr>
          <w:sz w:val="20"/>
          <w:szCs w:val="20"/>
          <w:color w:val="auto"/>
        </w:rPr>
      </w:pPr>
    </w:p>
    <w:p>
      <w:pPr>
        <w:ind w:right="320" w:firstLine="360"/>
        <w:spacing w:after="0" w:line="304" w:lineRule="auto"/>
        <w:rPr>
          <w:sz w:val="20"/>
          <w:szCs w:val="20"/>
          <w:color w:val="auto"/>
        </w:rPr>
      </w:pPr>
      <w:r>
        <w:rPr>
          <w:rFonts w:ascii="Times New Roman" w:cs="Times New Roman" w:eastAsia="Times New Roman" w:hAnsi="Times New Roman"/>
          <w:sz w:val="19"/>
          <w:szCs w:val="19"/>
          <w:color w:val="auto"/>
        </w:rPr>
        <w:t>We are an emerging growth company as defined in the JOBS Act, and we intend to take advantage of certain exemptions from various reporting requirements that are applicable to other public companies that are not emerging growth companies for up to five</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800"/>
          </w:cols>
          <w:pgMar w:left="540" w:top="1349" w:right="540" w:bottom="0" w:gutter="0" w:footer="0" w:header="0"/>
          <w:type w:val="continuous"/>
        </w:sectPr>
      </w:pPr>
    </w:p>
    <w:bookmarkStart w:id="63" w:name="page64"/>
    <w:bookmarkEnd w:id="63"/>
    <w:p>
      <w:pPr>
        <w:spacing w:after="0" w:line="245" w:lineRule="auto"/>
        <w:rPr>
          <w:sz w:val="20"/>
          <w:szCs w:val="20"/>
          <w:color w:val="auto"/>
        </w:rPr>
      </w:pPr>
      <w:r>
        <w:rPr>
          <w:rFonts w:ascii="Times New Roman" w:cs="Times New Roman" w:eastAsia="Times New Roman" w:hAnsi="Times New Roman"/>
          <w:sz w:val="20"/>
          <w:szCs w:val="20"/>
          <w:color w:val="auto"/>
        </w:rPr>
        <w:t>years following the completion of the Merger, including not being required to comply with the auditor attestation requirements of Section 404 of the Sarbanes- Oxley Act, reduced disclosure obligations regarding executive compensation in periodic reports and proxy statements and exemptions from the requirements of holding a nonbinding advisory vote on executive compensation and stockholder approval of any golden parachute payments not previously approved. To the extent we continue to take advantage of any of these exemptions, the information that we provide stockholders may be different than what is available with respect to other public companies. Investors may find the our common stock less attractive because we will continue to rely on these exemptions. If some investors find the our common stock less attractive as a result, there may be a less active trading market for the common stock, and the stock price may be more volatile.</w:t>
      </w:r>
    </w:p>
    <w:p>
      <w:pPr>
        <w:spacing w:after="0" w:line="203" w:lineRule="exact"/>
        <w:rPr>
          <w:sz w:val="20"/>
          <w:szCs w:val="20"/>
          <w:color w:val="auto"/>
        </w:rPr>
      </w:pPr>
    </w:p>
    <w:p>
      <w:pPr>
        <w:ind w:right="20" w:firstLine="361"/>
        <w:spacing w:after="0" w:line="249" w:lineRule="auto"/>
        <w:rPr>
          <w:sz w:val="20"/>
          <w:szCs w:val="20"/>
          <w:color w:val="auto"/>
        </w:rPr>
      </w:pPr>
      <w:r>
        <w:rPr>
          <w:rFonts w:ascii="Times New Roman" w:cs="Times New Roman" w:eastAsia="Times New Roman" w:hAnsi="Times New Roman"/>
          <w:sz w:val="20"/>
          <w:szCs w:val="20"/>
          <w:color w:val="auto"/>
        </w:rPr>
        <w:t>An emerging growth company may elect to delay the adoption of new or revised accounting standards. Because we have made this election, Section 102(b)(2) of the JOBS Act allows us to delay adoption of new or revised accounting standards until those standards apply to non-public business entities. As a result, the financial statements contained in this Report and those that we will file in the future may not be comparable to companies that comply with public business entities revised accounting standards effective dates.</w:t>
      </w:r>
    </w:p>
    <w:p>
      <w:pPr>
        <w:spacing w:after="0" w:line="197" w:lineRule="exact"/>
        <w:rPr>
          <w:sz w:val="20"/>
          <w:szCs w:val="20"/>
          <w:color w:val="auto"/>
        </w:rPr>
      </w:pPr>
    </w:p>
    <w:p>
      <w:pPr>
        <w:ind w:right="40" w:firstLine="361"/>
        <w:spacing w:after="0" w:line="244" w:lineRule="auto"/>
        <w:rPr>
          <w:sz w:val="20"/>
          <w:szCs w:val="20"/>
          <w:color w:val="auto"/>
        </w:rPr>
      </w:pPr>
      <w:r>
        <w:rPr>
          <w:rFonts w:ascii="Times New Roman" w:cs="Times New Roman" w:eastAsia="Times New Roman" w:hAnsi="Times New Roman"/>
          <w:sz w:val="20"/>
          <w:szCs w:val="20"/>
          <w:color w:val="auto"/>
        </w:rPr>
        <w:t>We are also a “smaller reporting company” as such term is defined in the Rule 12b-2 of the Exchange Act, meaning that the market value of our common stock held by non-affiliates plus any proposed aggregate amount of gross proceeds to us as a result of any offering is less than $700 million and our annual revenue is less than $100 million during the most recently completed fiscal year. Even after we no longer qualify as an emerging growth company, we may still qualify as a “smaller reporting company” which would allow us to take advantage of many of the same exemptions from disclosure requirements, including exemption from compliance with the auditor attestation requirements of Section 404 and reduced disclosure obligations regarding executive compensation in periodic reports and proxy statements. Investors could find our common stock less attractive because it may rely on these exemptions. If some investors find our common stock less attractive as a result, there may be a less active trading market for our common stock and the trading price may be more volatile.</w:t>
      </w:r>
    </w:p>
    <w:p>
      <w:pPr>
        <w:spacing w:after="0" w:line="206"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Future sales and issuances of our common stock or rights to purchase our common stock could result in additional dilution of the percentage ownership of our stockholders and could cause our common stock price to fall.</w:t>
      </w:r>
    </w:p>
    <w:p>
      <w:pPr>
        <w:spacing w:after="0" w:line="167" w:lineRule="exact"/>
        <w:rPr>
          <w:sz w:val="20"/>
          <w:szCs w:val="20"/>
          <w:color w:val="auto"/>
        </w:rPr>
      </w:pPr>
    </w:p>
    <w:p>
      <w:pPr>
        <w:ind w:right="60" w:firstLine="361"/>
        <w:spacing w:after="0" w:line="244" w:lineRule="auto"/>
        <w:rPr>
          <w:sz w:val="20"/>
          <w:szCs w:val="20"/>
          <w:color w:val="auto"/>
        </w:rPr>
      </w:pPr>
      <w:r>
        <w:rPr>
          <w:rFonts w:ascii="Times New Roman" w:cs="Times New Roman" w:eastAsia="Times New Roman" w:hAnsi="Times New Roman"/>
          <w:sz w:val="20"/>
          <w:szCs w:val="20"/>
          <w:color w:val="auto"/>
        </w:rPr>
        <w:t>We expect to have sufficient cash to fund our operating plan into the third quarter of 2026. However, we have based these estimates on numerous assumptions that may prove to be wrong, and we could spend our available capital resources much faster than we currently expect or require more capital to fund our operations than we currently expect. Significant additional capital will be needed in the future to continue our planned operations, including further development of our product candidate ABP-450, preparing INDs or equivalent filings, conducting preclinical studies and clinical trials, commercialization efforts, expanded R&amp;D activities and costs associated with operating a public company. To raise capital, we may sell common stock, convertible securities or other equity securities in one or more transactions at prices and in a manner as determined from time to time. If we sell common stock, convertible securities or other equity securities, existing investors may be materially diluted by subsequent sales. New investors could gain rights, preferences and privileges senior to the holders of our common stock.</w:t>
      </w:r>
    </w:p>
    <w:p>
      <w:pPr>
        <w:spacing w:after="0" w:line="206"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Pursuant to the 2023 Incentive Award Plan, or “the 2023 Plan”, as may be amended from time to time, our board of directors (the “Board”) or our compensation committee (the “Compensation Committee”) is authorized to grant equity-based awards to our employees, directors and consultants. The aggregate number of shares of our common stock that may be issued pursuant to stock awards under the 2023 Plan is 17,846,923 shares. Additionally, the number of shares of our common stock reserved for issuance under the 2023 Plan will automatically increase on January 1 of each year, beginning in 2027 and ending in 2033, by an amount equal to the lesser of 5% of the number of fully-diluted number of shares outstanding (as calculated pursuant to the terms of the 2023 Plan) on the final day of the immediately preceding calendar year or such lesser number of shares as is determined by our Board.</w:t>
      </w:r>
    </w:p>
    <w:p>
      <w:pPr>
        <w:spacing w:after="0" w:line="198" w:lineRule="exact"/>
        <w:rPr>
          <w:sz w:val="20"/>
          <w:szCs w:val="20"/>
          <w:color w:val="auto"/>
        </w:rPr>
      </w:pPr>
    </w:p>
    <w:p>
      <w:pPr>
        <w:ind w:right="80" w:firstLine="361"/>
        <w:spacing w:after="0" w:line="245" w:lineRule="auto"/>
        <w:rPr>
          <w:sz w:val="20"/>
          <w:szCs w:val="20"/>
          <w:color w:val="auto"/>
        </w:rPr>
      </w:pPr>
      <w:r>
        <w:rPr>
          <w:rFonts w:ascii="Times New Roman" w:cs="Times New Roman" w:eastAsia="Times New Roman" w:hAnsi="Times New Roman"/>
          <w:sz w:val="20"/>
          <w:szCs w:val="20"/>
          <w:color w:val="auto"/>
        </w:rPr>
        <w:t>Pursuant to the Employee Stock Purchase Program, or ESPP, our employees will have the opportunity to purchase shares of our common stock at a discount through accumulated payroll deductions. Initially, the aggregate number of shares of common stock that may be issued under the ESPP is 6,780 shares. In addition, the number of shares of common stock available for issuance under the ESPP will be annually increased on January 1 of each calendar year beginning in 2024 and ending in 2033 by an amount equal to the lesser of (a) 1% of the fully-diluted number of shares outstanding (as calculated pursuant to the terms of the ESPP) on the final day of the immediately preceding calendar year or (b) such lesser number of shares as is determined by our Board. Unless our Board elects not to increase the number of shares available for future grant each year, our stockholders may experience additional dilution, which could cause the price of our common stock to fall.</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780"/>
          </w:cols>
          <w:pgMar w:left="540" w:top="1349" w:right="560" w:bottom="0" w:gutter="0" w:footer="0" w:header="0"/>
          <w:type w:val="continuous"/>
        </w:sectPr>
      </w:pPr>
    </w:p>
    <w:bookmarkStart w:id="64" w:name="page65"/>
    <w:bookmarkEnd w:id="64"/>
    <w:p>
      <w:pPr>
        <w:ind w:right="220" w:firstLine="360"/>
        <w:spacing w:after="0" w:line="278" w:lineRule="auto"/>
        <w:rPr>
          <w:sz w:val="20"/>
          <w:szCs w:val="20"/>
          <w:color w:val="auto"/>
        </w:rPr>
      </w:pPr>
      <w:r>
        <w:rPr>
          <w:rFonts w:ascii="Times New Roman" w:cs="Times New Roman" w:eastAsia="Times New Roman" w:hAnsi="Times New Roman"/>
          <w:sz w:val="20"/>
          <w:szCs w:val="20"/>
          <w:color w:val="auto"/>
        </w:rPr>
        <w:t>Our issuance of additional shares of common stock or other equity securities of equal or senior rank would, all else being equal, have the following effects:</w:t>
      </w:r>
    </w:p>
    <w:p>
      <w:pPr>
        <w:spacing w:after="0" w:line="182" w:lineRule="exact"/>
        <w:rPr>
          <w:sz w:val="20"/>
          <w:szCs w:val="20"/>
          <w:color w:val="auto"/>
        </w:rPr>
      </w:pPr>
    </w:p>
    <w:p>
      <w:pPr>
        <w:ind w:left="720" w:hanging="360"/>
        <w:spacing w:after="0"/>
        <w:tabs>
          <w:tab w:leader="none" w:pos="72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existing stockholders’ proportionate ownership interests would decrease;</w:t>
      </w:r>
    </w:p>
    <w:p>
      <w:pPr>
        <w:spacing w:after="0" w:line="21" w:lineRule="exact"/>
        <w:rPr>
          <w:rFonts w:ascii="Symbol" w:cs="Symbol" w:eastAsia="Symbol" w:hAnsi="Symbol"/>
          <w:sz w:val="20"/>
          <w:szCs w:val="20"/>
          <w:color w:val="auto"/>
        </w:rPr>
      </w:pPr>
    </w:p>
    <w:p>
      <w:pPr>
        <w:ind w:left="720" w:hanging="360"/>
        <w:spacing w:after="0" w:line="238" w:lineRule="auto"/>
        <w:tabs>
          <w:tab w:leader="none" w:pos="72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amount of cash available per share of common stock, including for payment of dividends in the future, may decrease;</w:t>
      </w:r>
    </w:p>
    <w:p>
      <w:pPr>
        <w:ind w:left="720" w:hanging="360"/>
        <w:spacing w:after="0"/>
        <w:tabs>
          <w:tab w:leader="none" w:pos="72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relative voting strength of each previously outstanding share of common stock would be diminished; and</w:t>
      </w:r>
    </w:p>
    <w:p>
      <w:pPr>
        <w:ind w:left="720" w:hanging="360"/>
        <w:spacing w:after="0"/>
        <w:tabs>
          <w:tab w:leader="none" w:pos="72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market price of shares of our common stock may decline.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outstanding warrants may never be in the money and they may expire worthless</w:t>
      </w:r>
    </w:p>
    <w:p>
      <w:pPr>
        <w:spacing w:after="0" w:line="240" w:lineRule="exact"/>
        <w:rPr>
          <w:sz w:val="20"/>
          <w:szCs w:val="20"/>
          <w:color w:val="auto"/>
        </w:rPr>
      </w:pPr>
    </w:p>
    <w:p>
      <w:pPr>
        <w:ind w:right="80" w:firstLine="361"/>
        <w:spacing w:after="0" w:line="244" w:lineRule="auto"/>
        <w:rPr>
          <w:sz w:val="20"/>
          <w:szCs w:val="20"/>
          <w:color w:val="auto"/>
        </w:rPr>
      </w:pPr>
      <w:r>
        <w:rPr>
          <w:rFonts w:ascii="Times New Roman" w:cs="Times New Roman" w:eastAsia="Times New Roman" w:hAnsi="Times New Roman"/>
          <w:sz w:val="20"/>
          <w:szCs w:val="20"/>
          <w:color w:val="auto"/>
        </w:rPr>
        <w:t>We may receive up to an aggregate of approximately $75.4 million from the cash exercise of our outstanding warrants. The exercise price of the warrants ranges from $2.00 to $828.00 per warrant, and the reported sales price of our common stock on March 17, 2026 was $ 1.16. The likelihood that holders of warrant holders will exercise their warrants, and therefore any amount of cash proceeds that we may receive, is dependent upon the trading price of our common stock. If the trading price for our common stock does not maintain a price above the exercise price per share, then we do not expect holders to exercise their warrants for cash. If allowed by the warrant agreement, any exercise of warrants on a cashless basis would not result in proceeds to us from such exercise, even if the warrants are in-the-money. We expect to use the net proceeds from the exercise of such securities, if any, for general corporate purposes, which may include acquisitions or other strategic investments. We will have broad discretion over the use of any proceeds from the exercise of such securities. Any proceeds from the exercise of such securities would increase our liquidity, but we are not currently budgeting for any cash proceeds from the exercise of the warrants when planning for our operational funding needs.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disclosure controls and procedures may not prevent or detect all errors or acts of fraud.</w:t>
      </w:r>
    </w:p>
    <w:p>
      <w:pPr>
        <w:spacing w:after="0" w:line="239"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and procedures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2" w:lineRule="exact"/>
        <w:rPr>
          <w:sz w:val="20"/>
          <w:szCs w:val="20"/>
          <w:color w:val="auto"/>
        </w:rPr>
      </w:pPr>
    </w:p>
    <w:p>
      <w:pPr>
        <w:ind w:right="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obligations associated with being a public company involve significant expenses and require significant resources and management attention, which may divert from AEON’s business operations.</w:t>
      </w:r>
    </w:p>
    <w:p>
      <w:pPr>
        <w:spacing w:after="0" w:line="168"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20"/>
          <w:szCs w:val="20"/>
          <w:color w:val="auto"/>
        </w:rPr>
        <w:t>As a public company, AEON is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The listing requirements of NYSE American also require that we satisfy certain corporate governance requirements. As a result, AEON will incur significant legal, accounting and other expenses that AEON did not previously incur. AEON’s entire management team and many of its other employees will need to devote substantial time to compliance, and may not effectively or efficiently manage its transition into a public company.</w:t>
      </w:r>
    </w:p>
    <w:p>
      <w:pPr>
        <w:spacing w:after="0" w:line="198" w:lineRule="exact"/>
        <w:rPr>
          <w:sz w:val="20"/>
          <w:szCs w:val="20"/>
          <w:color w:val="auto"/>
        </w:rPr>
      </w:pPr>
    </w:p>
    <w:p>
      <w:pPr>
        <w:ind w:right="60" w:firstLine="361"/>
        <w:spacing w:after="0" w:line="245" w:lineRule="auto"/>
        <w:rPr>
          <w:sz w:val="20"/>
          <w:szCs w:val="20"/>
          <w:color w:val="auto"/>
        </w:rPr>
      </w:pPr>
      <w:r>
        <w:rPr>
          <w:rFonts w:ascii="Times New Roman" w:cs="Times New Roman" w:eastAsia="Times New Roman" w:hAnsi="Times New Roman"/>
          <w:sz w:val="20"/>
          <w:szCs w:val="20"/>
          <w:color w:val="auto"/>
        </w:rPr>
        <w:t>These rules and regulations will result in AEON incurring substantial legal, financial and accounting compliance costs in addition to other expenses and will make some activities more time-consuming and costly. The increased costs will decrease our net income or increase our consolidated net loss, and may require us to reduce costs in other areas of our business or increase the prices of our products or services. For example, these rules and regulations will likely make it more difficult and more expensive for AEON to obtain director and officer liability insurance, and it may be required to accept reduced policy limits and coverage or incur substantially higher costs to obtain the same or similar coverage. We cannot predict or estimate the amount or timing of additional costs we may incur to respond to these requirements. As a result, it may be difficult for AEON to attract and retain qualified people to serve on its Board, its Board committees or as executive officers.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800"/>
          </w:cols>
          <w:pgMar w:left="540" w:top="1349" w:right="540" w:bottom="0" w:gutter="0" w:footer="0" w:header="0"/>
          <w:type w:val="continuous"/>
        </w:sectPr>
      </w:pPr>
    </w:p>
    <w:bookmarkStart w:id="65" w:name="page66"/>
    <w:bookmarkEnd w:id="65"/>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Provisions in AEON’s certificate of incorporation, AEON’s bylaws and Delaware law have anti-takeover effects that discourage an acquisition of AEON by others, even if an acquisition would be beneficial to our stockholders, and may prevent attempts by our stockholders to replace or remove our current management, which could depress the trading price of our common stock.</w:t>
      </w:r>
    </w:p>
    <w:p>
      <w:pPr>
        <w:spacing w:after="0" w:line="186"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AEON’s certificate of incorporation,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AEON’s certificate of incorporation and bylaws include provisions that:</w:t>
      </w:r>
    </w:p>
    <w:p>
      <w:pPr>
        <w:spacing w:after="0" w:line="205" w:lineRule="exact"/>
        <w:rPr>
          <w:sz w:val="20"/>
          <w:szCs w:val="20"/>
          <w:color w:val="auto"/>
        </w:rPr>
      </w:pPr>
    </w:p>
    <w:p>
      <w:pPr>
        <w:ind w:left="720" w:right="140" w:hanging="360"/>
        <w:spacing w:after="0" w:line="250" w:lineRule="auto"/>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authorize “blank check” preferred stock, which could be issued by our Board without stockholder approval and may contain voting, liquidation, dividend and other rights superior to common stock;</w:t>
      </w:r>
    </w:p>
    <w:p>
      <w:pPr>
        <w:spacing w:after="0" w:line="1" w:lineRule="exact"/>
        <w:rPr>
          <w:rFonts w:ascii="Symbol" w:cs="Symbol" w:eastAsia="Symbol" w:hAnsi="Symbol"/>
          <w:sz w:val="20"/>
          <w:szCs w:val="20"/>
          <w:color w:val="auto"/>
        </w:rPr>
      </w:pPr>
    </w:p>
    <w:p>
      <w:pPr>
        <w:ind w:left="720" w:hanging="360"/>
        <w:spacing w:after="0"/>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create a classified Board whose members serve staggered three-year terms;</w:t>
      </w:r>
    </w:p>
    <w:p>
      <w:pPr>
        <w:ind w:left="720" w:right="220" w:hanging="360"/>
        <w:spacing w:after="0" w:line="239" w:lineRule="auto"/>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specify that special meetings of our stockholders can be called only by our Board, the chairperson of the Board or our chief executive officer or president;</w:t>
      </w:r>
    </w:p>
    <w:p>
      <w:pPr>
        <w:spacing w:after="0" w:line="1" w:lineRule="exact"/>
        <w:rPr>
          <w:rFonts w:ascii="Symbol" w:cs="Symbol" w:eastAsia="Symbol" w:hAnsi="Symbol"/>
          <w:sz w:val="20"/>
          <w:szCs w:val="20"/>
          <w:color w:val="auto"/>
        </w:rPr>
      </w:pPr>
    </w:p>
    <w:p>
      <w:pPr>
        <w:ind w:left="720" w:hanging="360"/>
        <w:spacing w:after="0"/>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prohibit stockholder action by written consent;</w:t>
      </w:r>
    </w:p>
    <w:p>
      <w:pPr>
        <w:ind w:left="720" w:right="120" w:hanging="360"/>
        <w:spacing w:after="0" w:line="239" w:lineRule="auto"/>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 an advance notice procedure for stockholder approvals to be brought before an annual meeting of our stockholders, including proposed nominations of persons for election to our Board;</w:t>
      </w:r>
    </w:p>
    <w:p>
      <w:pPr>
        <w:spacing w:after="0" w:line="1" w:lineRule="exact"/>
        <w:rPr>
          <w:rFonts w:ascii="Symbol" w:cs="Symbol" w:eastAsia="Symbol" w:hAnsi="Symbol"/>
          <w:sz w:val="20"/>
          <w:szCs w:val="20"/>
          <w:color w:val="auto"/>
        </w:rPr>
      </w:pPr>
    </w:p>
    <w:p>
      <w:pPr>
        <w:ind w:left="720" w:hanging="360"/>
        <w:spacing w:after="0"/>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specify that no stockholder is permitted to cumulate votes at any election of directors;</w:t>
      </w:r>
    </w:p>
    <w:p>
      <w:pPr>
        <w:ind w:left="720" w:hanging="360"/>
        <w:spacing w:after="0" w:line="238" w:lineRule="auto"/>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expressly authorize our Board to adopt, amend or repeal our bylaws; and</w:t>
      </w:r>
    </w:p>
    <w:p>
      <w:pPr>
        <w:ind w:left="720" w:right="120" w:hanging="360"/>
        <w:spacing w:after="0"/>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require supermajority votes of the holders of common stock to amend specified provisions of our certificate of incorporation and bylaws. 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204"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In addition, because we are incorporated in the State of Delaware, we are governed by the provisions of Section 203 of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3" w:lineRule="exact"/>
        <w:rPr>
          <w:sz w:val="20"/>
          <w:szCs w:val="20"/>
          <w:color w:val="auto"/>
        </w:rPr>
      </w:pPr>
    </w:p>
    <w:p>
      <w:pPr>
        <w:ind w:right="160" w:firstLine="360"/>
        <w:spacing w:after="0" w:line="259" w:lineRule="auto"/>
        <w:rPr>
          <w:sz w:val="20"/>
          <w:szCs w:val="20"/>
          <w:color w:val="auto"/>
        </w:rPr>
      </w:pPr>
      <w:r>
        <w:rPr>
          <w:rFonts w:ascii="Times New Roman" w:cs="Times New Roman" w:eastAsia="Times New Roman" w:hAnsi="Times New Roman"/>
          <w:sz w:val="20"/>
          <w:szCs w:val="20"/>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AEON’s certificate of incorporation and bylaws designate the Court of Chancery of the State of Delaware as the exclusive forum for certain state law litigation that may be initiated by our stockholders and the United States federal district courts as the exclusive forum for certain securities law actions, which could limit our stockholders’ ability to litigate disputes with us in a different judicial forum and increase the costs for our stockholders to pursue certain claims against us.</w:t>
      </w:r>
    </w:p>
    <w:p>
      <w:pPr>
        <w:spacing w:after="0" w:line="191"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19"/>
          <w:szCs w:val="19"/>
          <w:color w:val="auto"/>
        </w:rPr>
        <w:t>Pursuant to AEON’s bylaws and certificate of incorporation,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owed by any of our current or former directors, officers or employees to us or our stockholders;</w:t>
      </w:r>
    </w:p>
    <w:p>
      <w:pPr>
        <w:spacing w:after="0" w:line="1" w:lineRule="exact"/>
        <w:rPr>
          <w:sz w:val="20"/>
          <w:szCs w:val="20"/>
          <w:color w:val="auto"/>
        </w:rPr>
      </w:pPr>
    </w:p>
    <w:p>
      <w:pPr>
        <w:ind w:right="80"/>
        <w:spacing w:after="0" w:line="241" w:lineRule="auto"/>
        <w:tabs>
          <w:tab w:leader="none" w:pos="35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arising pursuant to any provision of the DGCL, AEON’s certificate of incorporation and bylaws (including their interpretation, validity or enforceability); or (iv) any action asserting a claim governed by the internal affairs doctrine. This exclusive forum provision will not apply to any causes of action arising under the Securities Act or the Exchange Act or any other claim for which the federal courts have exclusive jurisdiction. Stockholders cannot waive compliance with the Securities Act, the Exchange Act or any other federal securities laws or the rules and regulations thereunder.</w:t>
      </w:r>
    </w:p>
    <w:p>
      <w:pPr>
        <w:spacing w:after="0" w:line="207" w:lineRule="exact"/>
        <w:rPr>
          <w:sz w:val="20"/>
          <w:szCs w:val="20"/>
          <w:color w:val="auto"/>
        </w:rPr>
      </w:pPr>
    </w:p>
    <w:p>
      <w:pPr>
        <w:ind w:right="60" w:firstLine="360"/>
        <w:spacing w:after="0" w:line="263" w:lineRule="auto"/>
        <w:rPr>
          <w:sz w:val="20"/>
          <w:szCs w:val="20"/>
          <w:color w:val="auto"/>
        </w:rPr>
      </w:pPr>
      <w:r>
        <w:rPr>
          <w:rFonts w:ascii="Times New Roman" w:cs="Times New Roman" w:eastAsia="Times New Roman" w:hAnsi="Times New Roman"/>
          <w:sz w:val="19"/>
          <w:szCs w:val="19"/>
          <w:color w:val="auto"/>
        </w:rPr>
        <w:t>Unless we consent in writing to the selection of an alternate forum, the United States federal district courts shall be the sole and exclusive forum for resolving any complaint asserting a cause of action arising under the Securities Act. In addition, our bylaws provide that any person or entity purchasing or otherwise acquiring any interest in shares of our capital stock is deemed to have notice of and consented to these exclusive forum provisions. The forum selection provisions in our bylaws may limit our stockholders’ ability to litigate disputes with us in a judicial forum that they find favorable for disputes with us or our directors, officers or employees, which may discourage the filing of lawsuits against us and our directors, officers and employees, even though an action, if</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800"/>
          </w:cols>
          <w:pgMar w:left="540" w:top="1349" w:right="540" w:bottom="0" w:gutter="0" w:footer="0" w:header="0"/>
          <w:type w:val="continuous"/>
        </w:sectPr>
      </w:pPr>
    </w:p>
    <w:bookmarkStart w:id="66" w:name="page67"/>
    <w:bookmarkEnd w:id="66"/>
    <w:p>
      <w:pPr>
        <w:ind w:right="380"/>
        <w:spacing w:after="0" w:line="278" w:lineRule="auto"/>
        <w:rPr>
          <w:sz w:val="20"/>
          <w:szCs w:val="20"/>
          <w:color w:val="auto"/>
        </w:rPr>
      </w:pPr>
      <w:r>
        <w:rPr>
          <w:rFonts w:ascii="Times New Roman" w:cs="Times New Roman" w:eastAsia="Times New Roman" w:hAnsi="Times New Roman"/>
          <w:sz w:val="20"/>
          <w:szCs w:val="20"/>
          <w:color w:val="auto"/>
        </w:rPr>
        <w:t>successful, might benefit our stockholders. In addition, these forum selection provisions may impose additional litigation costs for stockholders who determine to pursue any such lawsuits against us.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243"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business and operations would suffer in the event of computer system failures, including but not limited to our information technology systems, infrastructure and data, or those of our third -party vendors, contractors or consultants failing, becoming unavailable, or suffering security breaches, losses or leakages of data and other disruptions, which could result in disruption of our services, compromise sensitive information (including personal information) related to our business, or prevent us from accessing critical information, potentially exposing us to liability or otherwise adversely affecting our business.</w:t>
      </w:r>
    </w:p>
    <w:p>
      <w:pPr>
        <w:spacing w:after="0" w:line="198"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20"/>
          <w:szCs w:val="20"/>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vendors and other contractors and consultants who have access to our confidential information.</w:t>
      </w:r>
    </w:p>
    <w:p>
      <w:pPr>
        <w:spacing w:after="0" w:line="199" w:lineRule="exact"/>
        <w:rPr>
          <w:sz w:val="20"/>
          <w:szCs w:val="20"/>
          <w:color w:val="auto"/>
        </w:rPr>
      </w:pPr>
    </w:p>
    <w:p>
      <w:pPr>
        <w:ind w:right="40" w:firstLine="360"/>
        <w:spacing w:after="0" w:line="243" w:lineRule="auto"/>
        <w:rPr>
          <w:sz w:val="20"/>
          <w:szCs w:val="20"/>
          <w:color w:val="auto"/>
        </w:rPr>
      </w:pPr>
      <w:r>
        <w:rPr>
          <w:rFonts w:ascii="Times New Roman" w:cs="Times New Roman" w:eastAsia="Times New Roman" w:hAnsi="Times New Roman"/>
          <w:sz w:val="20"/>
          <w:szCs w:val="20"/>
          <w:color w:val="auto"/>
        </w:rPr>
        <w:t>Despite the implementation of security measures, our internal computer systems, and those of third parties on which we rely, are vulnerable to breakdown or other damage from service interruptions, computer viruses, malware, natural disasters, terrorism, war, telecommunication and electrical failures, cyber-attacks or cyber-intrusions, including ransomware attacks, over the internet, attachments to emails, persons inside our organization, or persons with access to systems inside our organization. The risk of a security breach or disruption, particularly through cyber-attacks or cyber- intrusions, including by computer hackers, foreign governments, and cyber-terrorists, has generally increased as the number, intensity and sophistication of attempted attacks and intrusions from around the world have increased. If such an event were to occur and cause interruptions in our operations, it could result in a material disruption of our current or future product development programs. For example, the loss of clinical study data from completed or any future ongoing or planned clinical studies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our product candidate could be delayed.</w:t>
      </w:r>
    </w:p>
    <w:p>
      <w:pPr>
        <w:spacing w:after="0" w:line="206" w:lineRule="exact"/>
        <w:rPr>
          <w:sz w:val="20"/>
          <w:szCs w:val="20"/>
          <w:color w:val="auto"/>
        </w:rPr>
      </w:pPr>
    </w:p>
    <w:p>
      <w:pPr>
        <w:ind w:firstLine="361"/>
        <w:spacing w:after="0" w:line="242" w:lineRule="auto"/>
        <w:rPr>
          <w:sz w:val="20"/>
          <w:szCs w:val="20"/>
          <w:color w:val="auto"/>
        </w:rPr>
      </w:pPr>
      <w:r>
        <w:rPr>
          <w:rFonts w:ascii="Times New Roman" w:cs="Times New Roman" w:eastAsia="Times New Roman" w:hAnsi="Times New Roman"/>
          <w:sz w:val="20"/>
          <w:szCs w:val="20"/>
          <w:color w:val="auto"/>
        </w:rPr>
        <w:t>We cannot assure you that our data protection efforts and our investment in information technology will prevent breakdowns, data leakages, breaches in our systems, or those of our third-party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vendors and other contractors and consultants, it could result in a material disruption or delay of the development of ABP-450 and future product candidates. Furthermore, significant disruptions of our internal information technology systems or those of our third-party vendors and other contractors and consultants, or security breaches could result in the loss, misappropriation, or unauthorized access, use, or disclosure of, or the prevention of access to, confidential information, which could result in financial, legal, business and reputational harm to us. For example, any such event that leads to actual or perceived unauthorized access, use, or disclosure of personal information, including personal information regarding our customers or employees, could harm our reputation directly, compel us to comply with federal 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 material adverse effect on our business, financial condition, results of operations and prospects.</w:t>
      </w:r>
    </w:p>
    <w:p>
      <w:pPr>
        <w:spacing w:after="0" w:line="212" w:lineRule="exact"/>
        <w:rPr>
          <w:sz w:val="20"/>
          <w:szCs w:val="20"/>
          <w:color w:val="auto"/>
        </w:rPr>
      </w:pPr>
    </w:p>
    <w:p>
      <w:pPr>
        <w:jc w:val="both"/>
        <w:ind w:right="14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rely on third parties to provide services and technology necessary for the operation of our business. Any failure of one or more of our vendors, suppliers or licensors to provide these services or technology could have a material adverse effect on our business.</w:t>
      </w:r>
    </w:p>
    <w:p>
      <w:pPr>
        <w:spacing w:after="0" w:line="146" w:lineRule="exact"/>
        <w:rPr>
          <w:sz w:val="20"/>
          <w:szCs w:val="20"/>
          <w:color w:val="auto"/>
        </w:rPr>
      </w:pPr>
    </w:p>
    <w:p>
      <w:pPr>
        <w:jc w:val="both"/>
        <w:ind w:right="140" w:firstLine="360"/>
        <w:spacing w:after="0" w:line="270" w:lineRule="auto"/>
        <w:rPr>
          <w:sz w:val="20"/>
          <w:szCs w:val="20"/>
          <w:color w:val="auto"/>
        </w:rPr>
      </w:pPr>
      <w:r>
        <w:rPr>
          <w:rFonts w:ascii="Times New Roman" w:cs="Times New Roman" w:eastAsia="Times New Roman" w:hAnsi="Times New Roman"/>
          <w:sz w:val="19"/>
          <w:szCs w:val="19"/>
          <w:color w:val="auto"/>
        </w:rPr>
        <w:t>We rely on third- party vendors to provide critical services, including, among other things, services related to accounting, billing, human resources, and information technology that we cannot or do not provide ourselves. We depend on these vendors to ensure that our corporate infrastructure will consistently meet our business requirements. The ability of these third-party vendors to successfully provide reliable and high quality services is subject to technical and operational uncertainties that are beyond our control.</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800"/>
          </w:cols>
          <w:pgMar w:left="540" w:top="1349" w:right="540" w:bottom="0" w:gutter="0" w:footer="0" w:header="0"/>
          <w:type w:val="continuous"/>
        </w:sectPr>
      </w:pPr>
    </w:p>
    <w:bookmarkStart w:id="67" w:name="page68"/>
    <w:bookmarkEnd w:id="67"/>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While we may be entitled to damages if our vendors fail to perform under their agreements with us, the amount of damages we receive may be limited. In addition, we do not know whether we will be able to collect on any award of damages or that these damages would be sufficient to cover the actual costs we would incur as a result of any vendor’s failure to perform under its agreement with us. Any failure of our corporate infrastructure could have a material adverse effect on our business, financial condition and results of operations.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203"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publish unfavorable research about our business, our stock price and trading volume could decline.</w:t>
      </w:r>
    </w:p>
    <w:p>
      <w:pPr>
        <w:spacing w:after="0" w:line="167" w:lineRule="exact"/>
        <w:rPr>
          <w:sz w:val="20"/>
          <w:szCs w:val="20"/>
          <w:color w:val="auto"/>
        </w:rPr>
      </w:pPr>
    </w:p>
    <w:p>
      <w:pPr>
        <w:ind w:right="100" w:firstLine="361"/>
        <w:spacing w:after="0" w:line="243" w:lineRule="auto"/>
        <w:rPr>
          <w:sz w:val="20"/>
          <w:szCs w:val="20"/>
          <w:color w:val="auto"/>
        </w:rPr>
      </w:pPr>
      <w:r>
        <w:rPr>
          <w:rFonts w:ascii="Times New Roman" w:cs="Times New Roman" w:eastAsia="Times New Roman" w:hAnsi="Times New Roman"/>
          <w:sz w:val="20"/>
          <w:szCs w:val="20"/>
          <w:color w:val="auto"/>
        </w:rPr>
        <w:t>The trading market for our common stock will rely in part on the research and reports that equity research analysts publish about us and our business. We currently only have limited research coverage and may never obtain extensive research coverage by equity research analysts. Equity research analysts may elect not to provide research coverage of our common stock, and such lack of research coverage may adversely affect the market price of our common stock. In the event we obtain equity research analyst coverage, we will not have any control of the analysts or the content and opinions included in their reports. Analysts will establish and publish their own periodic financial projections for the business of AEON. These projections may vary widely and may not accurately predict the results AEON actually achieves. AEON’s stock price may decline if its actual results do not match the projections of these securities research analysts. The price of our common stock could also decline if one or more equity research analysts downgrades our common stock or issues other unfavorable commentary or research. If one or more equity research analysts ceases coverage of our company or fails to publish reports on us regularly, demand for our common stock could decrease, which in turn could cause the trading price or trading volume of our common stock to decline.</w:t>
      </w:r>
    </w:p>
    <w:p>
      <w:pPr>
        <w:spacing w:after="0" w:line="20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Operating as a public company requires us to incur substantial costs and requires substantial management attention. In addition, our management team has limited experience managing a public company and the requirements of being a public company may strain our resources, divert management’s attention and affect our ability to attract and retain additional executive management and qualified board members.</w:t>
      </w:r>
    </w:p>
    <w:p>
      <w:pPr>
        <w:spacing w:after="0" w:line="195" w:lineRule="exact"/>
        <w:rPr>
          <w:sz w:val="20"/>
          <w:szCs w:val="20"/>
          <w:color w:val="auto"/>
        </w:rPr>
      </w:pPr>
    </w:p>
    <w:p>
      <w:pPr>
        <w:ind w:right="60" w:firstLine="361"/>
        <w:spacing w:after="0" w:line="246" w:lineRule="auto"/>
        <w:rPr>
          <w:sz w:val="20"/>
          <w:szCs w:val="20"/>
          <w:color w:val="auto"/>
        </w:rPr>
      </w:pPr>
      <w:r>
        <w:rPr>
          <w:rFonts w:ascii="Times New Roman" w:cs="Times New Roman" w:eastAsia="Times New Roman" w:hAnsi="Times New Roman"/>
          <w:sz w:val="20"/>
          <w:szCs w:val="20"/>
          <w:color w:val="auto"/>
        </w:rPr>
        <w:t>As a public company, we will incur substantial legal, accounting and other expenses that we did not incur as a private company. For example, we are subject to the reporting requirements of the Exchange Act, the applicable requirements of the Sarbanes-Oxley Act, the Dodd-Frank Wall Street Reform and Consumer Protection Act, and the rules and regulations of the SEC. The rules and regulations of NYSE American also apply to us. As part of the new requirements, we have established and will need to maintain effective disclosure and financial controls and have made and will need to maintain changes to our corporate governance practices. We expect that compliance with these requirements will increase our legal and financial compliance costs and will make some activities more time-consuming or costly, and increase demand on our systems and resources.</w:t>
      </w:r>
    </w:p>
    <w:p>
      <w:pPr>
        <w:spacing w:after="0" w:line="199" w:lineRule="exact"/>
        <w:rPr>
          <w:sz w:val="20"/>
          <w:szCs w:val="20"/>
          <w:color w:val="auto"/>
        </w:rPr>
      </w:pPr>
    </w:p>
    <w:p>
      <w:pPr>
        <w:ind w:right="80" w:firstLine="361"/>
        <w:spacing w:after="0" w:line="247" w:lineRule="auto"/>
        <w:rPr>
          <w:sz w:val="20"/>
          <w:szCs w:val="20"/>
          <w:color w:val="auto"/>
        </w:rPr>
      </w:pPr>
      <w:r>
        <w:rPr>
          <w:rFonts w:ascii="Times New Roman" w:cs="Times New Roman" w:eastAsia="Times New Roman" w:hAnsi="Times New Roman"/>
          <w:sz w:val="20"/>
          <w:szCs w:val="20"/>
          <w:color w:val="auto"/>
        </w:rPr>
        <w:t>We are leanly staffed and some of our management and other key personnel have limited experience managing a public company and preparing public filings. In addition, as a public company, certain of our management and other key personnel will be required to divert attention from other business matters to devote substantial time to the reporting and other requirements of being a public company. In particular, we expect to incur significant expense and devote substantial management effort to complying with the requirements of Section 404 of the Sarbanes-Oxley Act. We will need to hire additional accounting and financial staff with appropriate public company experience and technical accounting knowledge.</w:t>
      </w:r>
    </w:p>
    <w:p>
      <w:pPr>
        <w:spacing w:after="0" w:line="200" w:lineRule="exact"/>
        <w:rPr>
          <w:sz w:val="20"/>
          <w:szCs w:val="20"/>
          <w:color w:val="auto"/>
        </w:rPr>
      </w:pPr>
    </w:p>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As a result of disclosure of information in this Report and in filings required of a public company, our business and financial condition will become more visible, which may result in threatened or actual litigation, including by stockholders and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195" w:lineRule="exact"/>
        <w:rPr>
          <w:sz w:val="20"/>
          <w:szCs w:val="20"/>
          <w:color w:val="auto"/>
        </w:rPr>
      </w:pPr>
    </w:p>
    <w:p>
      <w:pPr>
        <w:ind w:right="300" w:firstLine="360"/>
        <w:spacing w:after="0" w:line="278" w:lineRule="auto"/>
        <w:rPr>
          <w:sz w:val="20"/>
          <w:szCs w:val="20"/>
          <w:color w:val="auto"/>
        </w:rPr>
      </w:pPr>
      <w:r>
        <w:rPr>
          <w:rFonts w:ascii="Times New Roman" w:cs="Times New Roman" w:eastAsia="Times New Roman" w:hAnsi="Times New Roman"/>
          <w:sz w:val="20"/>
          <w:szCs w:val="20"/>
          <w:color w:val="auto"/>
        </w:rPr>
        <w:t>In addition, as a result of our disclosure obligations as a public company, we have reduced flexibility and are under pressure to focus on short-term results, which may adversely affect our ability to achieve long-term profitability.</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800"/>
          </w:cols>
          <w:pgMar w:left="540" w:top="1349" w:right="54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4" w:lineRule="exact"/>
        <w:rPr>
          <w:sz w:val="20"/>
          <w:szCs w:val="20"/>
          <w:color w:val="auto"/>
        </w:rPr>
      </w:pPr>
    </w:p>
    <w:p>
      <w:pPr>
        <w:ind w:right="1020" w:firstLine="360"/>
        <w:spacing w:after="0" w:line="305" w:lineRule="auto"/>
        <w:rPr>
          <w:sz w:val="20"/>
          <w:szCs w:val="20"/>
          <w:color w:val="auto"/>
        </w:rPr>
      </w:pPr>
      <w:r>
        <w:rPr>
          <w:rFonts w:ascii="Times New Roman" w:cs="Times New Roman" w:eastAsia="Times New Roman" w:hAnsi="Times New Roman"/>
          <w:sz w:val="19"/>
          <w:szCs w:val="19"/>
          <w:color w:val="auto"/>
        </w:rPr>
        <w:t>We maintain a cybersecurity risk management program designed to identify, assess, manage, mitigate, and respond to cybersecurity threats and to protect the confidentiality, integrity, and availability of our critical systems and information.</w:t>
      </w:r>
    </w:p>
    <w:p>
      <w:pPr>
        <w:spacing w:after="0" w:line="135" w:lineRule="exact"/>
        <w:rPr>
          <w:sz w:val="20"/>
          <w:szCs w:val="20"/>
          <w:color w:val="auto"/>
        </w:rPr>
      </w:pPr>
    </w:p>
    <w:p>
      <w:pPr>
        <w:ind w:right="80" w:firstLine="360"/>
        <w:spacing w:after="0" w:line="247" w:lineRule="auto"/>
        <w:rPr>
          <w:sz w:val="20"/>
          <w:szCs w:val="20"/>
          <w:color w:val="auto"/>
        </w:rPr>
      </w:pPr>
      <w:r>
        <w:rPr>
          <w:rFonts w:ascii="Times New Roman" w:cs="Times New Roman" w:eastAsia="Times New Roman" w:hAnsi="Times New Roman"/>
          <w:sz w:val="20"/>
          <w:szCs w:val="20"/>
          <w:color w:val="auto"/>
        </w:rPr>
        <w:t>The underlying process and controls of our cyber risk management program incorporate recognized best practices and standards for cybersecurity and information technology (“IT”), including the National Institute of Standards and Technology Cybersecurity Framework (NIST CSF). We have an annual risk assessment performed by a third-party specialist of our cyber risk management program against the NIST CSF. This assessment identifies, quantifies, and categorizes material cyber risks. In addition, the Company, in conjunction with our third-party specialists, have developed a risk mitigation plan to address such risks, and where necessary, to remediate potential vulnerabilities identified through the assessment process.</w:t>
      </w:r>
    </w:p>
    <w:p>
      <w:pPr>
        <w:spacing w:after="0" w:line="189" w:lineRule="exact"/>
        <w:rPr>
          <w:sz w:val="20"/>
          <w:szCs w:val="20"/>
          <w:color w:val="auto"/>
        </w:rPr>
      </w:pPr>
    </w:p>
    <w:p>
      <w:pPr>
        <w:ind w:right="100" w:firstLine="360"/>
        <w:spacing w:after="0" w:line="245" w:lineRule="auto"/>
        <w:rPr>
          <w:sz w:val="20"/>
          <w:szCs w:val="20"/>
          <w:color w:val="auto"/>
        </w:rPr>
      </w:pPr>
      <w:r>
        <w:rPr>
          <w:rFonts w:ascii="Times New Roman" w:cs="Times New Roman" w:eastAsia="Times New Roman" w:hAnsi="Times New Roman"/>
          <w:sz w:val="20"/>
          <w:szCs w:val="20"/>
          <w:color w:val="auto"/>
        </w:rPr>
        <w:t>We maintain policies and processes over areas such as information security, IT asset lifecycle, data destruction, backup, access provisioning, and maintenance of network accounts, to help govern the processes put in place by management designed to protect our IT assets, data, and services from threats and vulnerabilities. We partner with cybersecurity providers and consultants (collectively, “providers”) leveraging third-party technology and expertise. These providers are a key part of our cybersecurity risk management strategy and infrastructure. These providers deliver services including systems inventory monitoring, vulnerability testing, user management including restricted access of privileged accounts, capacity monitoring, network protection and monitoring, endpoint protection, managed detection and response, remote monitoring and management, cybersecurity user awareness training, data backup management, incident response, cybersecurity strategy, and cyber risk advisory, assessment, and remediation.</w:t>
      </w:r>
    </w:p>
    <w:p>
      <w:pPr>
        <w:spacing w:after="0" w:line="192"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Our management team, in conjunction with our third-party IT and cybersecurity service providers, is responsible for oversight and administration of our cyber risk management program, and for informing senior management and other relevant stakeholders regarding the prevention, detection, mitigation, and remediation of cybersecurity incidents. Our management team, in conjunction with our strategic third-party partners, oversees our cybersecurity technologies, initiatives, and processes, and relies on threat intelligence as well as other information obtained from governmental, public, or private sources, including external consultants engaged for strategic cyber risk management, advisory and decision making.</w:t>
      </w:r>
    </w:p>
    <w:p>
      <w:pPr>
        <w:spacing w:after="0" w:line="190" w:lineRule="exact"/>
        <w:rPr>
          <w:sz w:val="20"/>
          <w:szCs w:val="20"/>
          <w:color w:val="auto"/>
        </w:rPr>
      </w:pPr>
    </w:p>
    <w:p>
      <w:pPr>
        <w:jc w:val="both"/>
        <w:ind w:right="180" w:firstLine="360"/>
        <w:spacing w:after="0" w:line="252" w:lineRule="auto"/>
        <w:rPr>
          <w:sz w:val="20"/>
          <w:szCs w:val="20"/>
          <w:color w:val="auto"/>
        </w:rPr>
      </w:pPr>
      <w:r>
        <w:rPr>
          <w:rFonts w:ascii="Times New Roman" w:cs="Times New Roman" w:eastAsia="Times New Roman" w:hAnsi="Times New Roman"/>
          <w:sz w:val="20"/>
          <w:szCs w:val="20"/>
          <w:color w:val="auto"/>
        </w:rPr>
        <w:t>We have implemented third-party risk management processes to manage the risks associated with reliance on vendors, critical service providers, and other third-parties that may lead to a service disruption or an adverse cybersecurity incident. This includes an assessment of vendors during the selection and onboarding process, review of System and Organization Control (SOC) reports on an annual basis and a regular review of vendor contracts.</w:t>
      </w:r>
    </w:p>
    <w:p>
      <w:pPr>
        <w:spacing w:after="0" w:line="184" w:lineRule="exact"/>
        <w:rPr>
          <w:sz w:val="20"/>
          <w:szCs w:val="20"/>
          <w:color w:val="auto"/>
        </w:rPr>
      </w:pPr>
    </w:p>
    <w:p>
      <w:pPr>
        <w:ind w:right="20" w:firstLine="360"/>
        <w:spacing w:after="0" w:line="243" w:lineRule="auto"/>
        <w:rPr>
          <w:sz w:val="20"/>
          <w:szCs w:val="20"/>
          <w:color w:val="auto"/>
        </w:rPr>
      </w:pPr>
      <w:r>
        <w:rPr>
          <w:rFonts w:ascii="Times New Roman" w:cs="Times New Roman" w:eastAsia="Times New Roman" w:hAnsi="Times New Roman"/>
          <w:sz w:val="20"/>
          <w:szCs w:val="20"/>
          <w:color w:val="auto"/>
        </w:rPr>
        <w:t>We face risks from cybersecurity threats that could have a material adverse effect on our business, financial condition, results of operations, cash flows or reputation. We acknowledge that the risk of cyber incidents is prevalent in the current threat landscape and that a future cyber incident may occur in the normal course of business. The Company has not identified risks from known cybersecurity threats, including as a result of any prior cybersecurity incidents, that have materially affected or are reasonably likely to materially affect us, including our operations, business strategy, financial condition, results of operations, or cash flows. We proactively seek to detect and investigate unauthorized attempts and attacks against IT assets, data, and services, and to prevent their occurrence and recurrence where practicable; however, potential vulnerabilities to known or unknown threats will still remain. Further, there is increasing regulation regarding responses to cybersecurity incidents, including reporting to regulators, investors, and additional stakeholders, which could subject the Company to additional liability and reputational harm. In response to such risks, we have implemented initiatives such as implementation of the cybersecurity risk assessment process and development of an incident response plan.</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800"/>
          </w:cols>
          <w:pgMar w:left="540" w:top="1345" w:right="540" w:bottom="0" w:gutter="0" w:footer="0" w:header="0"/>
          <w:type w:val="continuous"/>
        </w:sectPr>
      </w:pPr>
    </w:p>
    <w:bookmarkStart w:id="69" w:name="page70"/>
    <w:bookmarkEnd w:id="69"/>
    <w:p>
      <w:pPr>
        <w:ind w:firstLine="360"/>
        <w:spacing w:after="0" w:line="247" w:lineRule="auto"/>
        <w:rPr>
          <w:sz w:val="20"/>
          <w:szCs w:val="20"/>
          <w:color w:val="auto"/>
        </w:rPr>
      </w:pPr>
      <w:r>
        <w:rPr>
          <w:rFonts w:ascii="Times New Roman" w:cs="Times New Roman" w:eastAsia="Times New Roman" w:hAnsi="Times New Roman"/>
          <w:sz w:val="20"/>
          <w:szCs w:val="20"/>
          <w:color w:val="auto"/>
        </w:rPr>
        <w:t>For more information, see the section titled “</w:t>
      </w:r>
      <w:r>
        <w:rPr>
          <w:rFonts w:ascii="Times New Roman" w:cs="Times New Roman" w:eastAsia="Times New Roman" w:hAnsi="Times New Roman"/>
          <w:sz w:val="20"/>
          <w:szCs w:val="20"/>
          <w:i w:val="1"/>
          <w:iCs w:val="1"/>
          <w:color w:val="auto"/>
        </w:rPr>
        <w:t>Risk Factor— Our business and operations would suffer in the event of computer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system failures, including but not limited to our information technology systems, infrastructure and data, or those of our third-party vendors, contractors or consultants failing, becoming unavailable, or suffering security breaches, losses or leakages of data and other disruptions, which could result in disruption of our services, compromise sensitive information (including personal information) related to our business, or prevent us from accessing critical information, potentially exposing us to liability or otherwise adversely affecting our business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Governance</w:t>
      </w:r>
    </w:p>
    <w:p>
      <w:pPr>
        <w:spacing w:after="0" w:line="243" w:lineRule="exact"/>
        <w:rPr>
          <w:sz w:val="20"/>
          <w:szCs w:val="20"/>
          <w:color w:val="auto"/>
        </w:rPr>
      </w:pPr>
    </w:p>
    <w:p>
      <w:pPr>
        <w:ind w:right="220" w:firstLine="360"/>
        <w:spacing w:after="0" w:line="247" w:lineRule="auto"/>
        <w:rPr>
          <w:sz w:val="20"/>
          <w:szCs w:val="20"/>
          <w:color w:val="auto"/>
        </w:rPr>
      </w:pPr>
      <w:r>
        <w:rPr>
          <w:rFonts w:ascii="Times New Roman" w:cs="Times New Roman" w:eastAsia="Times New Roman" w:hAnsi="Times New Roman"/>
          <w:sz w:val="20"/>
          <w:szCs w:val="20"/>
          <w:color w:val="auto"/>
        </w:rPr>
        <w:t>Our Board considers cybersecurity risk as part of its risk oversight function and has delegated to the Audit Committee (the “Committee”) oversight of cybersecurity, data privacy and other information technology risks. The Committee oversees management’s implementation of our cybersecurity risk management program and cybersecurity risk exposures, and the steps taken by management to monitor and mitigate cybersecurity risks. The Committee is composed of members of our board of directors with diverse expertise, including risk management, biotechnology, chief executive officer and chief financial officer roles, and multiple public company directorships, which has prepared them to oversee our cybersecurity risks.</w:t>
      </w:r>
    </w:p>
    <w:p>
      <w:pPr>
        <w:spacing w:after="0" w:line="200" w:lineRule="exact"/>
        <w:rPr>
          <w:sz w:val="20"/>
          <w:szCs w:val="20"/>
          <w:color w:val="auto"/>
        </w:rPr>
      </w:pPr>
    </w:p>
    <w:p>
      <w:pPr>
        <w:ind w:right="480" w:firstLine="360"/>
        <w:spacing w:after="0" w:line="305" w:lineRule="auto"/>
        <w:rPr>
          <w:sz w:val="20"/>
          <w:szCs w:val="20"/>
          <w:color w:val="auto"/>
        </w:rPr>
      </w:pPr>
      <w:r>
        <w:rPr>
          <w:rFonts w:ascii="Times New Roman" w:cs="Times New Roman" w:eastAsia="Times New Roman" w:hAnsi="Times New Roman"/>
          <w:sz w:val="19"/>
          <w:szCs w:val="19"/>
          <w:color w:val="auto"/>
        </w:rPr>
        <w:t>The Committee receives periodic reports from management on our cybersecurity risks. In addition, management updates the Committee, as necessary, regarding any material cybersecurity incidents, as well as any incidents with lesser impact potential.</w:t>
      </w:r>
    </w:p>
    <w:p>
      <w:pPr>
        <w:spacing w:after="0" w:line="144"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color w:val="auto"/>
        </w:rPr>
        <w:t>The Committee reports to the Board regarding its activities, including those related to cybersecurity. The Board also receives briefings from management on our cybersecurity risk management program. Board members receive presentations on cybersecurity topics from our Chief Executive Officer and EVP, Chief Legal Officer, internal security consultants and external experts as part of the Board’s continuing education on topics that impact public companies.</w:t>
      </w:r>
    </w:p>
    <w:p>
      <w:pPr>
        <w:spacing w:after="0" w:line="195"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19"/>
          <w:szCs w:val="19"/>
          <w:color w:val="auto"/>
        </w:rPr>
        <w:t>Our management team, including our Chief Executive Officer and EVP, Chief Legal Officer, is responsible for assessing and managing our material risks from cybersecurity threats. The team has primary responsibility for our overall cybersecurity risk management program and supervises efforts to prevent, detect, mitigate and remediate cybersecurity risks and incidents through various means, which may include briefings from internal security consultants; threat intelligence and other information obtained from governmental, public or private sources, including external consultants engaged by us; and alerts and reports produced by security tools deployed in the information technology environment. Our management team’s experience includes monitoring the cybersecurity landscape for new risks and best practices, developing and executing cybersecurity strategies, overseeing related governance policies, testing compliance with applicable technical standards, remediating known risks and leading employee training programs.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4"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Our principal executive office is located at 5 Park Plaza, Suite 1750, Irvine, California 92614. In September 2021, we entered into a lease agreement for 8,000 square feet of office space located at this facility, with a lease term of 36 months beginning in December 2021 and ending in December 2024. In March 2024, we entered into an amendment to extend the lease to an additional five years. We may look for alternate space for our operations, and we believe that suitable alternative space will be available in the future on commercially reasonable terms.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3"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color w:val="auto"/>
        </w:rPr>
        <w:t>On September 18, 2023, Odeon filed a lawsuit against us in the Supreme Court of the State of New York, alleging that we failed to pay Odeon’s deferred underwriting fee of $1.25 million, and seeking monetary damages for the full amount of its claimed underwriting fee, punitive damages, attorneys’ fees and other amounts, totaling approximately $1.7 million, which was recorded in other accrued expenses on the consolidated balance sheets as of December 31, 2024. On October 31, 2025, the Company entered into a settlement agreement with Odeon to settle the lawsuit in exchange for $1.0 million in cash, 267,455 shares of common stock and 125,000 warrants with exercise price of $2.00 and a three-year term. The Company recorded a gain on settlement of $0.4 million to selling, general and administrative expenses on the consolidated statement of operations and comprehensive (loss) income for the year ended December 31, 2025.</w:t>
      </w:r>
    </w:p>
    <w:p>
      <w:pPr>
        <w:spacing w:after="0" w:line="203" w:lineRule="exact"/>
        <w:rPr>
          <w:sz w:val="20"/>
          <w:szCs w:val="20"/>
          <w:color w:val="auto"/>
        </w:rPr>
      </w:pPr>
    </w:p>
    <w:p>
      <w:pPr>
        <w:ind w:right="120" w:firstLine="360"/>
        <w:spacing w:after="0" w:line="305" w:lineRule="auto"/>
        <w:rPr>
          <w:sz w:val="20"/>
          <w:szCs w:val="20"/>
          <w:color w:val="auto"/>
        </w:rPr>
      </w:pPr>
      <w:r>
        <w:rPr>
          <w:rFonts w:ascii="Times New Roman" w:cs="Times New Roman" w:eastAsia="Times New Roman" w:hAnsi="Times New Roman"/>
          <w:sz w:val="19"/>
          <w:szCs w:val="19"/>
          <w:color w:val="auto"/>
        </w:rPr>
        <w:t>On November 20, 2025, Aegis filed a lawsuit against the Company in the Supreme Court of the State of New York, alleging that the Company failed to honor the ROFR in Aegis’s favor when AEON raised capital through a self-directed PIPE. In the complaint,</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780"/>
          </w:cols>
          <w:pgMar w:left="540" w:top="1349" w:right="560" w:bottom="0" w:gutter="0" w:footer="0" w:header="0"/>
          <w:type w:val="continuous"/>
        </w:sectPr>
      </w:pPr>
    </w:p>
    <w:bookmarkStart w:id="70" w:name="page71"/>
    <w:bookmarkEnd w:id="70"/>
    <w:p>
      <w:pPr>
        <w:spacing w:after="0" w:line="249" w:lineRule="auto"/>
        <w:rPr>
          <w:sz w:val="20"/>
          <w:szCs w:val="20"/>
          <w:color w:val="auto"/>
        </w:rPr>
      </w:pPr>
      <w:r>
        <w:rPr>
          <w:rFonts w:ascii="Times New Roman" w:cs="Times New Roman" w:eastAsia="Times New Roman" w:hAnsi="Times New Roman"/>
          <w:sz w:val="20"/>
          <w:szCs w:val="20"/>
          <w:color w:val="auto"/>
        </w:rPr>
        <w:t>Aegis claimed that AEON misappropriated $1.59 million by not engaging Aegis as its underwriter or bookrunner in the PIPE and seeks punitive damages and attorneys' fees. Aegis was unsuccessful in its attempts to obtain both a temporary restraining order and permanent injunction. AEON filed a motion to dismiss in January 2026, relying upon New York precedent that indicates ROFRs are not operative when a company does not engage any banking partner. Oral argument with respect to the motion to dismiss is scheduled for April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720"/>
          </w:cols>
          <w:pgMar w:left="540" w:top="1349"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720"/>
          </w:cols>
          <w:pgMar w:left="540" w:top="1349" w:right="620" w:bottom="0" w:gutter="0" w:footer="0" w:header="0"/>
          <w:type w:val="continuous"/>
        </w:sectPr>
      </w:pPr>
    </w:p>
    <w:bookmarkStart w:id="71" w:name="page72"/>
    <w:bookmarkEnd w:id="71"/>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43"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20"/>
          <w:szCs w:val="20"/>
          <w:color w:val="auto"/>
        </w:rPr>
        <w:t>Our common stock trades on NYSE American under the symbol “AEON”. Trading of our common stock commenced on July 24, 2023 in connection with the consummation of our Merger. Prior to that time, there was no established public trading market for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44"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As of March 23, 2026, there were approximately 464 holders of record of our common stock. These numbers do not include beneficial owners whose shares were held in street name. The actual number of holders of our common stock is greater than this number of record holders and includes stockholders who are beneficial owners, but whose shares are held in street name by brokers or held by other nominees.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44"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The Company has never declared dividends on the Company’s equity securities, and currently does not plan to declare dividends on shares of the Company’s common stock in the foreseeable future. The Company expects to retain future earnings, if any, for use in the operation and expansion of the Company’s business. The payment of cash dividends in the future, if any, will be at the discretion of the Board and will depend upon such factors as earning levels, capital requirements, overall financial condition and any other factors deemed relevant by the Board.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and Use of Proceeds</w:t>
      </w:r>
    </w:p>
    <w:p>
      <w:pPr>
        <w:spacing w:after="0" w:line="244" w:lineRule="exact"/>
        <w:rPr>
          <w:sz w:val="20"/>
          <w:szCs w:val="20"/>
          <w:color w:val="auto"/>
        </w:rPr>
      </w:pPr>
    </w:p>
    <w:p>
      <w:pPr>
        <w:ind w:right="620" w:firstLine="360"/>
        <w:spacing w:after="0" w:line="278" w:lineRule="auto"/>
        <w:rPr>
          <w:sz w:val="20"/>
          <w:szCs w:val="20"/>
          <w:color w:val="auto"/>
        </w:rPr>
      </w:pPr>
      <w:r>
        <w:rPr>
          <w:rFonts w:ascii="Times New Roman" w:cs="Times New Roman" w:eastAsia="Times New Roman" w:hAnsi="Times New Roman"/>
          <w:sz w:val="20"/>
          <w:szCs w:val="20"/>
          <w:color w:val="auto"/>
        </w:rPr>
        <w:t>During the fiscal year ended December 31, 2025, the Company did not make any unregistered issuances or sales of equity securities that were not reported in a Current Report on Form 8-K.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480" w:orient="portrait"/>
          <w:cols w:equalWidth="0" w:num="1">
            <w:col w:w="10740"/>
          </w:cols>
          <w:pgMar w:left="540" w:top="1345"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740"/>
          </w:cols>
          <w:pgMar w:left="540" w:top="1345" w:right="60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5"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financial condition and results of operations should be read together with the consolidated financial statements and the related notes and other financial information included elsewhere in this Report. Some of the information contained in this discussion and analysis contains forward-looking statements that involve risks and uncertainties. As a result of many factors, such as those set forth in the sections of this Report captioned “Risk Factors” and “Cautionary Note Regarding Forward-Looking Statements”, actual results may differ materially from those anticipated in these forward-looking statements. Unless the context otherwise requires, references to “we”, “us”, “our” and “the Company” refer to the business and operations of AEON Biopharma, Inc. and its consolidated subsidiaries prior to the Merger (“Old AEON”) and to AEON Biopharma, Inc. (“AEON”) following the consummation of the Merger.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3" w:lineRule="exact"/>
        <w:rPr>
          <w:sz w:val="20"/>
          <w:szCs w:val="20"/>
          <w:color w:val="auto"/>
        </w:rPr>
      </w:pPr>
    </w:p>
    <w:p>
      <w:pPr>
        <w:ind w:right="140" w:firstLine="360"/>
        <w:spacing w:after="0" w:line="252" w:lineRule="auto"/>
        <w:rPr>
          <w:sz w:val="20"/>
          <w:szCs w:val="20"/>
          <w:color w:val="auto"/>
        </w:rPr>
      </w:pPr>
      <w:r>
        <w:rPr>
          <w:rFonts w:ascii="Times New Roman" w:cs="Times New Roman" w:eastAsia="Times New Roman" w:hAnsi="Times New Roman"/>
          <w:sz w:val="20"/>
          <w:szCs w:val="20"/>
          <w:color w:val="auto"/>
        </w:rPr>
        <w:t>We are a biopharmaceutical company focused on developing ABP-450 as a biosimilar to Botox® (onabotulinumtoxinA) for therapeutic indications. Our strategy is to pursue regulatory approval in the United States through Section 351(k). We hold exclusive development and commercialization rights for ABP-450 in therapeutic indications across the United States, Canada, the European Union, the United Kingdom, and certain other international territories.</w:t>
      </w:r>
    </w:p>
    <w:p>
      <w:pPr>
        <w:spacing w:after="0" w:line="193"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Building on this strategy, we are advancing ABP-450 through the 351(k) biosimilar pathway toward a potential Biologics License Application in the United States, targeting the therapeutic botulinum toxin market, which we estimate to be approximately $3.3 billion in 2025, and is projected to grow at an annual growth rate of approximately 8%. This large and continually growing market has historically been dominated by a single branded product. ABP -450 is the same botulinum toxin complex that is currently approved as a biosimilar in Mexico, India and Philippines and, in the U.S., is approved to provide temporary improvement in the appearance of moderate to severe glabellar lines for certain adult patients and marketed by Evolus, Inc. under the name Jeuveau® in the U.S. and Nuceiva® in Canada and the European Union. We have exclusive development and distribution rights for therapeutic uses of ABP-450 in the U.S., Canada, the European Union, the United Kingdom, and certain other international territories. We have established a highly experienced management team with specific experience in biopharmaceutical and botulinum toxin development and commercialization.</w:t>
      </w:r>
    </w:p>
    <w:p>
      <w:pPr>
        <w:spacing w:after="0" w:line="203" w:lineRule="exact"/>
        <w:rPr>
          <w:sz w:val="20"/>
          <w:szCs w:val="20"/>
          <w:color w:val="auto"/>
        </w:rPr>
      </w:pPr>
    </w:p>
    <w:p>
      <w:pPr>
        <w:ind w:right="120" w:firstLine="360"/>
        <w:spacing w:after="0" w:line="247" w:lineRule="auto"/>
        <w:rPr>
          <w:sz w:val="20"/>
          <w:szCs w:val="20"/>
          <w:color w:val="auto"/>
        </w:rPr>
      </w:pPr>
      <w:r>
        <w:rPr>
          <w:rFonts w:ascii="Times New Roman" w:cs="Times New Roman" w:eastAsia="Times New Roman" w:hAnsi="Times New Roman"/>
          <w:sz w:val="20"/>
          <w:szCs w:val="20"/>
          <w:color w:val="auto"/>
        </w:rPr>
        <w:t>ABP-450 is manufactured by Daewoong Pharmaceutical Co., Ltd. in a facility designed to be compliant with current Good Manufacturing Practice (“cGMP”) that has manufactured products approved by the U.S. Food and Drug Administration, Health Canada, and the European Commission. The same botulinum toxin complex is commercially available in multiple international markets and is approved in the United States for aesthetic use under the brand name Jeuveau®. Our development program is focused exclusively on therapeutic indications, where we believe the biosimilar pathway may enable efficient development and broad label access, subject to regulatory review.</w:t>
      </w:r>
    </w:p>
    <w:p>
      <w:pPr>
        <w:spacing w:after="0" w:line="200" w:lineRule="exact"/>
        <w:rPr>
          <w:sz w:val="20"/>
          <w:szCs w:val="20"/>
          <w:color w:val="auto"/>
        </w:rPr>
      </w:pPr>
    </w:p>
    <w:p>
      <w:pPr>
        <w:ind w:right="60" w:firstLine="360"/>
        <w:spacing w:after="0" w:line="244" w:lineRule="auto"/>
        <w:rPr>
          <w:sz w:val="20"/>
          <w:szCs w:val="20"/>
          <w:color w:val="auto"/>
        </w:rPr>
      </w:pPr>
      <w:r>
        <w:rPr>
          <w:rFonts w:ascii="Times New Roman" w:cs="Times New Roman" w:eastAsia="Times New Roman" w:hAnsi="Times New Roman"/>
          <w:sz w:val="20"/>
          <w:szCs w:val="20"/>
          <w:color w:val="auto"/>
        </w:rPr>
        <w:t>We held an initial meeting with the FDA in the third quarter of 2024 during which we obtained feedback from the FDA on next steps to develop a Botox® biosimilar. We commenced analytical studies in the fourth quarter of 2024 to prepare for a BPD Type 2a meeting with the FDA that was held on January 21, 2026. During the meeting, the FDA reviewed the Company’s proposed analytical similarity strategy under the 351(k) biosimilar pathway. The FDA acknowledged the scientific challenges associated with characterizing a 900 kDa botulinum neurotoxin complex, provided constructive feedback on our proposed development approach and analytical assessment plan, and noted that our analytical methodologies appeared reasonable to support advancement of the program toward a comprehensive analytical similarity package. We believe this feedback provides a clear framework for the remaining analytical components of its biosimilar development program and plans to complete the majority of its analytical comparability program in 2026. We are currently planning to request a BPD Type 2b meeting in 2026 to discuss the next phase of the development program to support approval of ABP-450 as a biosimilar to Botox® across all approved therapeutic indications.</w:t>
      </w: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The initial results from our analytical studies indicate a 100% amino acid sequence match confirmed between ABP-450 and</w:t>
      </w:r>
    </w:p>
    <w:p>
      <w:pPr>
        <w:spacing w:after="0" w:line="28" w:lineRule="exact"/>
        <w:rPr>
          <w:sz w:val="20"/>
          <w:szCs w:val="20"/>
          <w:color w:val="auto"/>
        </w:rPr>
      </w:pPr>
    </w:p>
    <w:p>
      <w:pPr>
        <w:ind w:right="40" w:firstLine="1"/>
        <w:spacing w:after="0" w:line="241" w:lineRule="auto"/>
        <w:rPr>
          <w:sz w:val="20"/>
          <w:szCs w:val="20"/>
          <w:color w:val="auto"/>
        </w:rPr>
      </w:pPr>
      <w:r>
        <w:rPr>
          <w:rFonts w:ascii="Times New Roman" w:cs="Times New Roman" w:eastAsia="Times New Roman" w:hAnsi="Times New Roman"/>
          <w:sz w:val="20"/>
          <w:szCs w:val="20"/>
          <w:color w:val="auto"/>
        </w:rPr>
        <w:t>Botox®, based on sequence coverage of 93% to 99% for the five proteins that comprise the 900kD botulinum toxin type A complex, using liquid chromatography/mass spectrometry (“LC/MS”) analysis of more than 3,400 amino acids across multiple lots of ABP-450 and Botox®, without any sequence deviations observed. Additionally, ABP-450 also demonstrated highly similar potency across two distinct assays (LD50 - in vivo biological activity and CBPA cell-based potency assay) to support clinical dose predictability, comparable vial to vial active ingredient composition using ELISA - further supporting dose similarity and reliability, and functional cleavage of SNAP -25, consistent with the mechanism of action. These results contribute to our assessment of analytical similarity by characterizing key structural attributes of ABP-450 relative to the reference product and are intended to reduce residual uncertainty</w:t>
      </w:r>
    </w:p>
    <w:p>
      <w:pPr>
        <w:sectPr>
          <w:pgSz w:w="11880" w:h="15480" w:orient="portrait"/>
          <w:cols w:equalWidth="0" w:num="1">
            <w:col w:w="10760"/>
          </w:cols>
          <w:pgMar w:left="540" w:top="1347" w:right="58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760"/>
          </w:cols>
          <w:pgMar w:left="540" w:top="1347" w:right="580" w:bottom="0" w:gutter="0" w:footer="0" w:header="0"/>
          <w:type w:val="continuous"/>
        </w:sectPr>
      </w:pPr>
    </w:p>
    <w:bookmarkStart w:id="73" w:name="page74"/>
    <w:bookmarkEnd w:id="73"/>
    <w:p>
      <w:pPr>
        <w:ind w:right="200"/>
        <w:spacing w:after="0" w:line="278" w:lineRule="auto"/>
        <w:rPr>
          <w:sz w:val="20"/>
          <w:szCs w:val="20"/>
          <w:color w:val="auto"/>
        </w:rPr>
      </w:pPr>
      <w:r>
        <w:rPr>
          <w:rFonts w:ascii="Times New Roman" w:cs="Times New Roman" w:eastAsia="Times New Roman" w:hAnsi="Times New Roman"/>
          <w:sz w:val="20"/>
          <w:szCs w:val="20"/>
          <w:color w:val="auto"/>
        </w:rPr>
        <w:t>and potentially limit the need for further clinical assessments. Additional analytical and functional studies are ongoing as part of our broader analytical similarity assessment.</w:t>
      </w:r>
    </w:p>
    <w:p>
      <w:pPr>
        <w:spacing w:after="0" w:line="16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Botulinum toxins represent a well-characterized class of biologic therapeutics with over 230 potential therapeutic uses</w:t>
      </w:r>
    </w:p>
    <w:p>
      <w:pPr>
        <w:spacing w:after="0" w:line="27"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20"/>
          <w:szCs w:val="20"/>
          <w:color w:val="auto"/>
        </w:rPr>
        <w:t>documented in the published scientific literature and twelve FDA-approved indications in the United States. ABP-450 has been previously evaluated in multiple clinical and preclinical programs, including Phase 2 studies in cervical dystonia and migraine and preclinical work in gastroparesis and neuropsychiatric models. The Phase 2 cervical dystonia program met its primary and key secondary endpoints and, together with its open-label safety extension, provides human clinical data supporting the potential safety and efficacy of ABP-450. We are not currently pursuing additional 351(a) indication-specific development programs, but we retain related intellectual property and know-how that could support future collaborations or lifecycle opportunities.</w:t>
      </w:r>
    </w:p>
    <w:p>
      <w:pPr>
        <w:spacing w:after="0" w:line="201" w:lineRule="exact"/>
        <w:rPr>
          <w:sz w:val="20"/>
          <w:szCs w:val="20"/>
          <w:color w:val="auto"/>
        </w:rPr>
      </w:pPr>
    </w:p>
    <w:p>
      <w:pPr>
        <w:ind w:right="20" w:firstLine="361"/>
        <w:spacing w:after="0" w:line="242" w:lineRule="auto"/>
        <w:rPr>
          <w:sz w:val="20"/>
          <w:szCs w:val="20"/>
          <w:color w:val="auto"/>
        </w:rPr>
      </w:pPr>
      <w:r>
        <w:rPr>
          <w:rFonts w:ascii="Times New Roman" w:cs="Times New Roman" w:eastAsia="Times New Roman" w:hAnsi="Times New Roman"/>
          <w:sz w:val="20"/>
          <w:szCs w:val="20"/>
          <w:color w:val="auto"/>
        </w:rPr>
        <w:t>We license ABP- 450 from Daewoong, a South Korean pharmaceutical manufacturer, and have exclusive development and distribution rights for therapeutic indications in the U.S., Canada, the European Union, the United Kingdom, and certain other international territories. Daewoong licenses the same 900 kDa botulinum toxin to Evolus for cosmetic indications, which Evolus markets and sells under the name Jeuveau® in the United States and Nuceiva® in Canada and the European Union. Prior to licensing the botulinum toxin complex to Evolus, Daewoong conducted a broad preclinical development program for ABP -450 that was primarily focused on safety to support any clinical indication. Subsequently, Evolus completed a comprehensive clinical development program of the same botulinum toxin complex and has received approval from regulatory authorities in the United States, the European Union and Canada to market and sell Jeuveau® in the United States and Nuceiva® in Canada and the European Union for the temporary improvement in the appearance of moderate to severe glabellar, or frown, lines in adults. Over 2,100 adult subjects with moderate to severe glabellar lines at maximum frown participated in Evolus’ clinical development program, and each of Evolus’ Phase 3 clinical studies successfully met their respective primary safety and efficacy endpoints. While none of these preclinical or clinical programs specifically contemplated any therapeutic use of ABP-450, given that the FDA’s regulatory requirements are generally the same for the cosmetic or therapeutic use of a toxin, we believe that the positive data derived from these preclinical and clinical studies will support the clinical development and potential future safety labeling of ABP-450 for our 351(k) biosimilar program, across all labeled dose ranges.</w:t>
      </w:r>
    </w:p>
    <w:p>
      <w:pPr>
        <w:spacing w:after="0" w:line="212"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We plan to pursue approval of ABP-450 by submitting a Section 351(k) BLA that exclusively contemplates therapeutic indications for ABP-450, which we believe could improve provider reimbursement for ABP-450, if approved. Existing botulinum toxins, including Botox®, are approved under a single BLA for both therapeutic and cosmetic indications. As a result, other botulinum toxins are required to include the sales prices of both therapeutic and cosmetic botulinum toxin sales when calculating the average selling price, or ASP, that is used to determine the reimbursement amount physicians receive for therapeutic usage. The inclusion of a lower cosmetic sales price in the calculation of ASP can cause physicians that inject for therapeutic applications to lose money when treating patients with existing botulinum toxins and also creates a deterrent to providing payors and/or providers with rebates or other financial incentives. If we are successful in obtaining approval of a Section 351(k) BLA for therapeutic indications of ABP-450, we believe the ASP for ABP-450 would be calculated using only therapeutic sales, which we believe would facilitate consistent and favorable product reimbursement to physicians when they choose to use ABP-450 for therapeutic treatments, as well as the ability to provide payors and/or providers with rebates and other financial incentives. This pricing model would be unique to us within the current therapeutic neurotoxin market, and we believe it would allow physicians to provide treatment with ABP-450 at a more competitive or the same net price as the market leader after rebates and discounts.</w:t>
      </w:r>
    </w:p>
    <w:p>
      <w:pPr>
        <w:spacing w:after="0" w:line="203"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We believe ABP-450 could have therapeutic applications in a broad range of debilitating medical conditions, and we intend to continue to leverage our product assessment screening process to identify additional indications for future development. Our management team possesses significant and relevant experience in the botulinum toxin industry in both drug development and commercialization, and we believe they are highly qualified to successfully develop and commercialize ABP-450 to enhance the lives of patients that suffer from debilitating medical conditions.</w:t>
      </w:r>
    </w:p>
    <w:p>
      <w:pPr>
        <w:spacing w:after="0" w:line="196" w:lineRule="exact"/>
        <w:rPr>
          <w:sz w:val="20"/>
          <w:szCs w:val="20"/>
          <w:color w:val="auto"/>
        </w:rPr>
      </w:pPr>
    </w:p>
    <w:p>
      <w:pPr>
        <w:ind w:right="40" w:firstLine="359"/>
        <w:spacing w:after="0" w:line="246" w:lineRule="auto"/>
        <w:rPr>
          <w:sz w:val="20"/>
          <w:szCs w:val="20"/>
          <w:color w:val="auto"/>
        </w:rPr>
      </w:pPr>
      <w:r>
        <w:rPr>
          <w:rFonts w:ascii="Times New Roman" w:cs="Times New Roman" w:eastAsia="Times New Roman" w:hAnsi="Times New Roman"/>
          <w:sz w:val="20"/>
          <w:szCs w:val="20"/>
          <w:color w:val="auto"/>
        </w:rPr>
        <w:t>We have never been profitable from operations and, as of December 31, 2025, we had an accumulated deficit of $470.8 million. We have never generated revenue from ABP-450. We have concluded that we do not have sufficient cash to fund our operations for 12 months from the date of our financial statements without additional financing, and as a result, there is substantial doubt about our ability to continue as a going concern. As of the date of this Report, we expect to have sufficient cash to fund our operating plan into the third quarter of 2026, including funds of $4.2 million received from the Second Closing. Any further development of ABP-450 for any indication, including the biosimilar pathway and any additional studies, will require additional funding, which may not be available to us on reasonable terms, or at all.</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780"/>
          </w:cols>
          <w:pgMar w:left="540" w:top="1349" w:right="560" w:bottom="0" w:gutter="0" w:footer="0" w:header="0"/>
          <w:type w:val="continuous"/>
        </w:sectPr>
      </w:pPr>
    </w:p>
    <w:bookmarkStart w:id="74" w:name="page75"/>
    <w:bookmarkEnd w:id="74"/>
    <w:p>
      <w:pPr>
        <w:ind w:right="200" w:firstLine="360"/>
        <w:spacing w:after="0" w:line="253" w:lineRule="auto"/>
        <w:rPr>
          <w:sz w:val="20"/>
          <w:szCs w:val="20"/>
          <w:color w:val="auto"/>
        </w:rPr>
      </w:pPr>
      <w:r>
        <w:rPr>
          <w:rFonts w:ascii="Times New Roman" w:cs="Times New Roman" w:eastAsia="Times New Roman" w:hAnsi="Times New Roman"/>
          <w:sz w:val="20"/>
          <w:szCs w:val="20"/>
          <w:color w:val="auto"/>
        </w:rPr>
        <w:t>We do not expect to receive any revenue from ABP-450 or any future product candidates that we develop unless and until we obtain regulatory approval and commercialize ABP-450 or any future product candidates. We expect to continue to incur significant expenses and increasing net operating losses for the foreseeable future as we seek regulatory approval, prepare for and, if approved, proceed to commercialization of ABP-450.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Overview</w:t>
      </w:r>
    </w:p>
    <w:p>
      <w:pPr>
        <w:spacing w:after="0" w:line="244"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20"/>
          <w:szCs w:val="20"/>
          <w:color w:val="auto"/>
        </w:rPr>
        <w:t>On March 6, 2026, the Company’s board of directors (the “Board”) appointed John Bencich as the Company’s Chief Financial Officer, effective as of March 9, 2026 and principal financial officer, effective as of April 1, 2026. Mr. Bencich’s appointment is part of the Company’s strategic plan to strengthen its executive leadership team as it advances key regulatory and financing milestones.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 and Going Concern</w:t>
      </w:r>
    </w:p>
    <w:p>
      <w:pPr>
        <w:spacing w:after="0" w:line="243"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As disclosed further below in the section titled "</w:t>
      </w:r>
      <w:r>
        <w:rPr>
          <w:rFonts w:ascii="Times New Roman" w:cs="Times New Roman" w:eastAsia="Times New Roman" w:hAnsi="Times New Roman"/>
          <w:sz w:val="20"/>
          <w:szCs w:val="20"/>
          <w:i w:val="1"/>
          <w:iCs w:val="1"/>
          <w:color w:val="auto"/>
        </w:rPr>
        <w:t>Liquidity and Capital Resources</w:t>
      </w:r>
      <w:r>
        <w:rPr>
          <w:rFonts w:ascii="Times New Roman" w:cs="Times New Roman" w:eastAsia="Times New Roman" w:hAnsi="Times New Roman"/>
          <w:sz w:val="20"/>
          <w:szCs w:val="20"/>
          <w:color w:val="auto"/>
        </w:rPr>
        <w:t>", we have incurred operating losses and negative cash flows from operating activities since inception and expect to continue to incur significant operating losses for the foreseeable future and may never become profitable. As of December 31, 2025, we had reported cash and cash equivalents of $3.0 million and an accumulated deficit of $470.8 million. As a result of these conditions, management has concluded that substantial doubt about our ability to continue as a going concern exists as conditions and events, considered in the aggregate, indicate that it is probable that we will be unable to meet our obligations as they become due within one year after the date that the financial statements included in this Report are issued. Our ability to continue as a going concern is dependent upon our ability to successfully accomplish our business plans and secure sources of financing and ultimately attain profitable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Notice of Noncompliance</w:t>
      </w:r>
    </w:p>
    <w:p>
      <w:pPr>
        <w:spacing w:after="0" w:line="243"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20"/>
          <w:szCs w:val="20"/>
          <w:color w:val="auto"/>
        </w:rPr>
        <w:t>On February 3, 2025, the Company received a written notice of non-compliance (the “Notice”) from the NYSE American stating that the Company is not in compliance with continued listing standards of Section 1003(a)(i) of the NYSE American Company Guide (the “Company Guide”), which requires stockholders’ equity of $2.0 million or more if the listed company has reported losses from continuing operations and/or net losses in two of its three most recent fiscal years (the “Minimum Requirement”), as defined in Section 1003(a)(i) of the Company Guide. Pursuant to the Notice, the Company reported a stockholders’ deficit of $32.1 million at September 30, 2024 and losses in the two most recent fiscal years ended December 31, 2023 based on the Company’s Annual Report on Form 10-K/A filed with the U.S. Securities and Exchange Commission on May 14, 2024, and the Company is not currently eligible for any exemption from the stockholders’ equity requirement in Section 1003(a) of the Company Guide, and as such, the NYSE American deems the Company below compliance with the Minimum Requirement.</w:t>
      </w:r>
    </w:p>
    <w:p>
      <w:pPr>
        <w:spacing w:after="0" w:line="206"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20"/>
          <w:szCs w:val="20"/>
          <w:color w:val="auto"/>
        </w:rPr>
        <w:t>The Notice has no immediate effect on the listing of the Company’s listing on the NYSE American. The Company has been provided with a compliance period of 18 months to regain compliance with the Minimum Requirement. The Company submitted a plan advising of actions taken or will be taken to regain compliance with the continued listings standards of the Company Guide by August 3, 2026 (the “Plan”). The Plan has been approved and is subject to periodic reviews by the NYSE American to monitor compliance with the Plan. If the Company does not make progress consistent with the Plan, or if the Company is not in compliance with the Minimum Requirement by August 3, 2026, then the NYSE American may initiate delisting proceedings as appropriate. The Company intends to consider available options to resolve the non-compliance with the Minimum Requirement. However, there can be no assurance that the Company will be able to regain compliance with the Minimum Requirement.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Public Offering</w:t>
      </w:r>
    </w:p>
    <w:p>
      <w:pPr>
        <w:spacing w:after="0" w:line="244" w:lineRule="exact"/>
        <w:rPr>
          <w:sz w:val="20"/>
          <w:szCs w:val="20"/>
          <w:color w:val="auto"/>
        </w:rPr>
      </w:pPr>
    </w:p>
    <w:p>
      <w:pPr>
        <w:ind w:right="160" w:firstLine="360"/>
        <w:spacing w:after="0" w:line="260" w:lineRule="auto"/>
        <w:rPr>
          <w:sz w:val="20"/>
          <w:szCs w:val="20"/>
          <w:color w:val="auto"/>
        </w:rPr>
      </w:pPr>
      <w:r>
        <w:rPr>
          <w:rFonts w:ascii="Times New Roman" w:cs="Times New Roman" w:eastAsia="Times New Roman" w:hAnsi="Times New Roman"/>
          <w:sz w:val="19"/>
          <w:szCs w:val="19"/>
          <w:color w:val="auto"/>
        </w:rPr>
        <w:t>On January 6, 2025, we entered into an underwriting agreement (the “Underwriting Agreement”) with Aegis Capital Corp. (“Aegis” or the “Underwriter”) pursuant to which the Company agreed to sell and issue, in an underwritten public offering (the “Offering”) 555,571 Common Units, each consisting of (i) one (1) share of common stock, (ii) one (1) Series A Registered common warrant to purchase one (1) share of common stock per warrant at an exercise price of $45.00 (the “Series A Warrants”) and (iii) one</w:t>
      </w:r>
    </w:p>
    <w:p>
      <w:pPr>
        <w:ind w:right="20"/>
        <w:spacing w:after="0" w:line="241" w:lineRule="auto"/>
        <w:tabs>
          <w:tab w:leader="none" w:pos="28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Series B Registered common warrant to purchase one (1) share of common stock per warrant at an exercise price of $45.00 (the “Series B Warrants” and together with the Series A Warrants, the “Warrants”). Additionally, the Company granted Aegis a 45-day option to purchase additional shares of common stock and/or Warrants of (i) up to 15.0% of the number of shares of common stock sold in the offering, (ii) up to 15.0% of the number of Series A Warrants sold in the offering and (iii) up to 15.0% of the number of Series B Warrants sold in the offering. The purchase price per additional share of common stock was equal to the public offering price of one Common Unit (less $0.01 allocated to each full Warrant), less the underwriting discount. The purchase price per additional</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780"/>
          </w:cols>
          <w:pgMar w:left="540" w:top="1349" w:right="560" w:bottom="0" w:gutter="0" w:footer="0" w:header="0"/>
          <w:type w:val="continuous"/>
        </w:sectPr>
      </w:pPr>
    </w:p>
    <w:bookmarkStart w:id="75" w:name="page76"/>
    <w:bookmarkEnd w:id="75"/>
    <w:p>
      <w:pPr>
        <w:ind w:right="100"/>
        <w:spacing w:after="0" w:line="278" w:lineRule="auto"/>
        <w:rPr>
          <w:sz w:val="20"/>
          <w:szCs w:val="20"/>
          <w:color w:val="auto"/>
        </w:rPr>
      </w:pPr>
      <w:r>
        <w:rPr>
          <w:rFonts w:ascii="Times New Roman" w:cs="Times New Roman" w:eastAsia="Times New Roman" w:hAnsi="Times New Roman"/>
          <w:sz w:val="20"/>
          <w:szCs w:val="20"/>
          <w:color w:val="auto"/>
        </w:rPr>
        <w:t>Warrant is $0.01. On January 7, 2025, Aegis exercised its over-allotment option with respect to 83,334 Series A Warrants and 83,334 Series B Warrants.</w:t>
      </w:r>
    </w:p>
    <w:p>
      <w:pPr>
        <w:spacing w:after="0" w:line="168"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The closing of the Offering occurred on January 7, 2025. The Company received net proceeds of approximately $18.3 million from the Offering, after deducting the offering expenses payable by the Company, including the Underwriter’s fees and expenses. The Company intends to use the net proceeds from the Offering for general corporate purposes, including working capital. As of</w:t>
      </w:r>
    </w:p>
    <w:p>
      <w:pPr>
        <w:spacing w:after="0" w:line="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March 23, 2026, approximately 98.3% of the Series B Warrants, which can be exercised on a cashless three-shares-per-warrant basis, have been exercised.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Private Placement Financing</w:t>
      </w:r>
    </w:p>
    <w:p>
      <w:pPr>
        <w:spacing w:after="0" w:line="244"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20"/>
          <w:szCs w:val="20"/>
          <w:color w:val="auto"/>
        </w:rPr>
        <w:t>On November 12, 2025, we entered into a Securities Purchase Agreement (the “Securities Purchase Agreement”) with certain investors (the “Investors”) whereby the Company agreed to issue and sell to the Investors in a private placement (the “PIPE Financing”): (i) shares (the “PIPE Shares”) of its common stock, par value $0.0001 per share, (ii) pre-funded warrants (the “PIPE Pre-Funded Warrants”) to purchase shares of common stock, (iii) warrants (the “PIPE Warrants”) to purchase shares of common stock, and (iv) True-Up Warrants (as defined below) to purchase shares of common stock. The purchase price paid by the Investors was $0.9116 per Share (or $0.9115 per pre-funded warrant in lieu of shares), the closing price of the Company’s stock on November 12, 2025.</w:t>
      </w:r>
    </w:p>
    <w:p>
      <w:pPr>
        <w:spacing w:after="0" w:line="119" w:lineRule="exact"/>
        <w:rPr>
          <w:sz w:val="20"/>
          <w:szCs w:val="20"/>
          <w:color w:val="auto"/>
        </w:rPr>
      </w:pPr>
    </w:p>
    <w:p>
      <w:pPr>
        <w:ind w:right="20" w:firstLine="360"/>
        <w:spacing w:after="0" w:line="243" w:lineRule="auto"/>
        <w:rPr>
          <w:sz w:val="20"/>
          <w:szCs w:val="20"/>
          <w:color w:val="auto"/>
        </w:rPr>
      </w:pPr>
      <w:r>
        <w:rPr>
          <w:rFonts w:ascii="Times New Roman" w:cs="Times New Roman" w:eastAsia="Times New Roman" w:hAnsi="Times New Roman"/>
          <w:sz w:val="20"/>
          <w:szCs w:val="20"/>
          <w:color w:val="auto"/>
        </w:rPr>
        <w:t>The first closing of the PIPE Financing occurred on November 18, 2025 (the “First Closing”). At the First Closing, we issued 1,964,905 PIPE Pre-Funded Warrants, and received gross proceeds of $1.8 million. Following the approval of the PIPE Financing at the special shareholder meeting on January 21, 2026, and the consummation of the Exchange, the second closing of the PIPE Financing occurred on January 27, 2026 (the “Second Closing”). Upon the Second Closing and the consummation of the Exchange, the Company issued to each Investor pursuant to the Securities Purchase Agreement, a warrant (the “True-Up Warrant)” to purchase the number of shares of common stock necessary for the Investor’s Post-Exchange Investment Percentage (as defined in the Securities Purchase Agreement) following the issuance of the Exchange Shares (as defined below) to be equal to the Investor’s Pre-Exchange Investment Percentage (as defined in the Securities Purchase Agreement) (rounded down to the nearest whole share of common stock), provided, however, that in no event shall the number of shares of common stock issuable under an Investor’s True-Up Warrant exceed the total number of PIPE Shares or PIPE Pre-Funded Warrant Shares issued or issuable to an Investor pursuant to the Securities Purchase Agreement. At the Second Closing, we issued 4,616,924 PIPE Pre-Funded Warrants, 6,581,829 PIPE Warrants and 6,581,829 True-Up Warrants to the Investors, and the Company received gross proceeds of $4.2 million. The Company intends to use the net proceeds from the PIPE Financing for general corporate purposes, including working capital.</w:t>
      </w:r>
    </w:p>
    <w:p>
      <w:pPr>
        <w:spacing w:after="0" w:line="124"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Subject to the terms and conditions therein, the Securities Purchase Agreement also granted to the Investors, until such time as the earlier of (i) the date that no PIPE Warrants remain outstanding and (ii) the 18-month anniversary of the Second Closing, a right to participate in any financing not registered under the Securities Act and involving the issuance by the Company of common stock or common stock equivalents for cash.</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Terms of the PIPE Pre-Funded Warrants, PIPE Warrants and True-Up Warrants</w:t>
      </w:r>
    </w:p>
    <w:p>
      <w:pPr>
        <w:spacing w:after="0" w:line="158" w:lineRule="exact"/>
        <w:rPr>
          <w:sz w:val="20"/>
          <w:szCs w:val="20"/>
          <w:color w:val="auto"/>
        </w:rPr>
      </w:pPr>
    </w:p>
    <w:p>
      <w:pPr>
        <w:jc w:val="both"/>
        <w:ind w:right="20" w:firstLine="360"/>
        <w:spacing w:after="0" w:line="259" w:lineRule="auto"/>
        <w:rPr>
          <w:sz w:val="20"/>
          <w:szCs w:val="20"/>
          <w:color w:val="auto"/>
        </w:rPr>
      </w:pPr>
      <w:r>
        <w:rPr>
          <w:rFonts w:ascii="Times New Roman" w:cs="Times New Roman" w:eastAsia="Times New Roman" w:hAnsi="Times New Roman"/>
          <w:sz w:val="20"/>
          <w:szCs w:val="20"/>
          <w:color w:val="auto"/>
        </w:rPr>
        <w:t>The PIPE Pre-Funded Warrants were offered in lieu of shares of common stock and each PIPE Pre-Funded Warrant is exercisable for one share of common stock at an exercise price of $0.0001 per share. The PIPE Pre-Funded Warrants are immediately exercisable after issuance and may be exercised at any time until all of the PIPE Pre-Funded Warrants are exercised in full.</w:t>
      </w:r>
    </w:p>
    <w:p>
      <w:pPr>
        <w:spacing w:after="0" w:line="18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Each PIPE Warrant is exercisable for the number of PIPE Shares or PIPE Pre-Funded Warrants purchased by each Investor under the Securities Purchase Agreement (but excluding any shares issuable upon the exercise of the True-Up Warrants), at an exercise price of $1.09392 per share and may only be exercised for cash. The PIPE Warrants are immediately exercisable after issuance and may be able to be exercised at any time until the five-year anniversary of the Second Closing.</w:t>
      </w:r>
    </w:p>
    <w:p>
      <w:pPr>
        <w:spacing w:after="0" w:line="113" w:lineRule="exact"/>
        <w:rPr>
          <w:sz w:val="20"/>
          <w:szCs w:val="20"/>
          <w:color w:val="auto"/>
        </w:rPr>
      </w:pPr>
    </w:p>
    <w:p>
      <w:pPr>
        <w:ind w:right="80" w:firstLine="360"/>
        <w:spacing w:after="0" w:line="259" w:lineRule="auto"/>
        <w:rPr>
          <w:sz w:val="20"/>
          <w:szCs w:val="20"/>
          <w:color w:val="auto"/>
        </w:rPr>
      </w:pPr>
      <w:r>
        <w:rPr>
          <w:rFonts w:ascii="Times New Roman" w:cs="Times New Roman" w:eastAsia="Times New Roman" w:hAnsi="Times New Roman"/>
          <w:sz w:val="20"/>
          <w:szCs w:val="20"/>
          <w:color w:val="auto"/>
        </w:rPr>
        <w:t>Each True-Up Warrant is exercisable for one share of common stock at an exercise price of $0.0001 per share. The True-Up Warrants are immediately exercisable after issuance and may be able to be exercised at any time until all of the True-Up Warrants are exercised in full.</w:t>
      </w:r>
    </w:p>
    <w:p>
      <w:pPr>
        <w:spacing w:after="0" w:line="185" w:lineRule="exact"/>
        <w:rPr>
          <w:sz w:val="20"/>
          <w:szCs w:val="20"/>
          <w:color w:val="auto"/>
        </w:rPr>
      </w:pPr>
    </w:p>
    <w:p>
      <w:pPr>
        <w:jc w:val="both"/>
        <w:ind w:right="20" w:firstLine="360"/>
        <w:spacing w:after="0" w:line="270" w:lineRule="auto"/>
        <w:rPr>
          <w:sz w:val="20"/>
          <w:szCs w:val="20"/>
          <w:color w:val="auto"/>
        </w:rPr>
      </w:pPr>
      <w:r>
        <w:rPr>
          <w:rFonts w:ascii="Times New Roman" w:cs="Times New Roman" w:eastAsia="Times New Roman" w:hAnsi="Times New Roman"/>
          <w:sz w:val="19"/>
          <w:szCs w:val="19"/>
          <w:color w:val="auto"/>
        </w:rPr>
        <w:t>The exercise prices and the number of shares issuable upon exercise of the PIPE Pre-Funded Warrants, PIPE Warrants and True-Up Warrants are subject to customary adjustments in the case of stock dividends, stock splits, pro rata distributions, and similar events in respect of the common stock. In addition, the number of shares of the common stock underlying, and the exercise price of, the PIPE Warrants is subject to full ratchet antidilution protection and standard adjustments in the event of a share split, reverse share split,</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780"/>
          </w:cols>
          <w:pgMar w:left="540" w:top="1349" w:right="560" w:bottom="0" w:gutter="0" w:footer="0" w:header="0"/>
          <w:type w:val="continuous"/>
        </w:sectPr>
      </w:pPr>
    </w:p>
    <w:bookmarkStart w:id="76" w:name="page77"/>
    <w:bookmarkEnd w:id="76"/>
    <w:p>
      <w:pPr>
        <w:ind w:right="20"/>
        <w:spacing w:after="0" w:line="278" w:lineRule="auto"/>
        <w:rPr>
          <w:sz w:val="20"/>
          <w:szCs w:val="20"/>
          <w:color w:val="auto"/>
        </w:rPr>
      </w:pPr>
      <w:r>
        <w:rPr>
          <w:rFonts w:ascii="Times New Roman" w:cs="Times New Roman" w:eastAsia="Times New Roman" w:hAnsi="Times New Roman"/>
          <w:sz w:val="20"/>
          <w:szCs w:val="20"/>
          <w:color w:val="auto"/>
        </w:rPr>
        <w:t>share dividend, share combination recapitalization or other similar transaction involving the common stock; provided, however, that in no event will the exercise price of the PIPE Warrants equal less than $0.30387 per share of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Convertible Note Subscription</w:t>
      </w:r>
    </w:p>
    <w:p>
      <w:pPr>
        <w:spacing w:after="0" w:line="243" w:lineRule="exact"/>
        <w:rPr>
          <w:sz w:val="20"/>
          <w:szCs w:val="20"/>
          <w:color w:val="auto"/>
        </w:rPr>
      </w:pPr>
    </w:p>
    <w:p>
      <w:pPr>
        <w:ind w:right="60" w:firstLine="360"/>
        <w:spacing w:after="0" w:line="246" w:lineRule="auto"/>
        <w:rPr>
          <w:sz w:val="20"/>
          <w:szCs w:val="20"/>
          <w:color w:val="auto"/>
        </w:rPr>
      </w:pPr>
      <w:r>
        <w:rPr>
          <w:rFonts w:ascii="Times New Roman" w:cs="Times New Roman" w:eastAsia="Times New Roman" w:hAnsi="Times New Roman"/>
          <w:sz w:val="20"/>
          <w:szCs w:val="20"/>
          <w:color w:val="auto"/>
        </w:rPr>
        <w:t>In March 2024, we entered into a subscription agreement with Daewoong (the “Subscription Agreement”) relating to our sale and issuance of the convertible notes in the principal amount of up to $15.0 million, which are convertible into shares of common stock, subject to certain conditions and limitations set forth in each Convertible Note. Each Convertible Note contains customary events of default, accrues interest at an annual rate of 15.79% and has a maturity date that is three years from the funding date (the “Existing Maturity Date”), unless earlier repurchased, converted or redeemed in accordance with its terms prior to such date. Pursuant to the terms of the Subscription Agreement, we issued and sold to Daewoong convertible notes in the principal amount of $5.0 million and $10.0 million in March 2024 and April 2024, respectively (the “Existing Notes”).</w:t>
      </w:r>
    </w:p>
    <w:p>
      <w:pPr>
        <w:spacing w:after="0" w:line="201" w:lineRule="exact"/>
        <w:rPr>
          <w:sz w:val="20"/>
          <w:szCs w:val="20"/>
          <w:color w:val="auto"/>
        </w:rPr>
      </w:pPr>
    </w:p>
    <w:p>
      <w:pPr>
        <w:ind w:right="40" w:firstLine="360"/>
        <w:spacing w:after="0" w:line="244" w:lineRule="auto"/>
        <w:rPr>
          <w:sz w:val="20"/>
          <w:szCs w:val="20"/>
          <w:color w:val="auto"/>
        </w:rPr>
      </w:pPr>
      <w:r>
        <w:rPr>
          <w:rFonts w:ascii="Times New Roman" w:cs="Times New Roman" w:eastAsia="Times New Roman" w:hAnsi="Times New Roman"/>
          <w:sz w:val="20"/>
          <w:szCs w:val="20"/>
          <w:color w:val="auto"/>
        </w:rPr>
        <w:t>On November 12, 2025, we entered into a binding term sheet (the “Term Sheet”) with Daewoong relating to the exchange (the “Exchange”) of the Existing Notes. On December 15, 2025, we entered into an Exchange Agreement (the “Exchange Agreement”) with Daewoong consistent with the terms of the Term Sheet pursuant to which the Existing Notes held by Daewoong were exchanged for (i) newly issued shares of common stock of the Company equal to (x) the principal and accrued interest of the Existing Notes as of the closing of the Exchange less (y) the principal amount of the New Convertible Note (as defined below), divided by $1.00, and then multiplied by 1.3 (and rounded down to the nearest whole share of common stock) and/or pre-funded warrants to purchase shares of common stock (the “Daewoong Pre-Funded Warrants”) in lieu of any shares of common stock that would result in Daewoong’s beneficial ownership of common stock exceeding 49.99% (the “Exchange Shares”), (ii) a new senior secured convertible note for $1.5 million (the “New Convertible Note”), and (iii) warrants to purchase up to 8 million shares of common stock at an exercise price of $1.09392 per share (the “Daewoong Warrant”).</w:t>
      </w:r>
    </w:p>
    <w:p>
      <w:pPr>
        <w:spacing w:after="0" w:line="202"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The Daewoong Warrants, which are on the same terms as the Warrants issued in connection with the PIPE Financing, are exercisable at an exercise price of $1.09392 per share and may only be exercised for cash. The Daewoong Warrants are immediately exercisable after issuance and may be able to be exercised at any time until the five-year anniversary of the Second Closing. The Exchange Agreement provides that the Company nominate one designee of Daewoong to the Company’s board of directors to serve as a Class III director at the 2026 annual meeting of stockholders, of which the director designee is currently Seongsoo Park. Mr. Park currently serves on the Company’s board of directors and is scheduled for renomination at the 2026 annual meeting of stockholders. The Exchange was approved at the special meeting of shareholders on January 21, 2026.</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Pursuant to the terms of the Exchange Agreement, for the full satisfaction of all obligations under the Existing Notes,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issued to Daewoong (i) 11,918,380 newly issued shares of common stock and 11,236,631 Daewoong Pre-Funded Warrants</w:t>
      </w:r>
    </w:p>
    <w:p>
      <w:pPr>
        <w:spacing w:after="0"/>
        <w:rPr>
          <w:sz w:val="20"/>
          <w:szCs w:val="20"/>
          <w:color w:val="auto"/>
        </w:rPr>
      </w:pPr>
      <w:r>
        <w:rPr>
          <w:rFonts w:ascii="Times New Roman" w:cs="Times New Roman" w:eastAsia="Times New Roman" w:hAnsi="Times New Roman"/>
          <w:sz w:val="20"/>
          <w:szCs w:val="20"/>
          <w:color w:val="auto"/>
        </w:rPr>
        <w:t>to purchase shares of common stock (the “Exchange Shares”), (ii) a new senior secured convertible note in a principal amount of $1.5</w:t>
      </w:r>
    </w:p>
    <w:p>
      <w:pPr>
        <w:spacing w:after="0"/>
        <w:rPr>
          <w:sz w:val="20"/>
          <w:szCs w:val="20"/>
          <w:color w:val="auto"/>
        </w:rPr>
      </w:pPr>
      <w:r>
        <w:rPr>
          <w:rFonts w:ascii="Times New Roman" w:cs="Times New Roman" w:eastAsia="Times New Roman" w:hAnsi="Times New Roman"/>
          <w:sz w:val="20"/>
          <w:szCs w:val="20"/>
          <w:color w:val="auto"/>
        </w:rPr>
        <w:t>million (the “New Convertible Note”), and (iii) warrants to purchase up to 8 million shares of common stock at an exercise price of</w:t>
      </w:r>
    </w:p>
    <w:p>
      <w:pPr>
        <w:spacing w:after="0"/>
        <w:rPr>
          <w:sz w:val="20"/>
          <w:szCs w:val="20"/>
          <w:color w:val="auto"/>
        </w:rPr>
      </w:pPr>
      <w:r>
        <w:rPr>
          <w:rFonts w:ascii="Times New Roman" w:cs="Times New Roman" w:eastAsia="Times New Roman" w:hAnsi="Times New Roman"/>
          <w:sz w:val="20"/>
          <w:szCs w:val="20"/>
          <w:color w:val="auto"/>
        </w:rPr>
        <w:t>$1.09392 per share, which resulted in Daewoong becoming a related party. Prior to this transaction, Daewoong’s beneficial ownership</w:t>
      </w:r>
    </w:p>
    <w:p>
      <w:pPr>
        <w:spacing w:after="0"/>
        <w:rPr>
          <w:sz w:val="20"/>
          <w:szCs w:val="20"/>
          <w:color w:val="auto"/>
        </w:rPr>
      </w:pPr>
      <w:r>
        <w:rPr>
          <w:rFonts w:ascii="Times New Roman" w:cs="Times New Roman" w:eastAsia="Times New Roman" w:hAnsi="Times New Roman"/>
          <w:sz w:val="20"/>
          <w:szCs w:val="20"/>
          <w:color w:val="auto"/>
        </w:rPr>
        <w:t>was approximately 1%. Management continues to evaluate related-party transactions to ensure they are conducted in the best interests</w:t>
      </w:r>
    </w:p>
    <w:p>
      <w:pPr>
        <w:spacing w:after="0"/>
        <w:rPr>
          <w:sz w:val="20"/>
          <w:szCs w:val="20"/>
          <w:color w:val="auto"/>
        </w:rPr>
      </w:pPr>
      <w:r>
        <w:rPr>
          <w:rFonts w:ascii="Times New Roman" w:cs="Times New Roman" w:eastAsia="Times New Roman" w:hAnsi="Times New Roman"/>
          <w:sz w:val="20"/>
          <w:szCs w:val="20"/>
          <w:color w:val="auto"/>
        </w:rPr>
        <w:t>of the Company and on terms that management believes are reasonable and appropriate under the circumstances.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New Convertible Note</w:t>
      </w:r>
    </w:p>
    <w:p>
      <w:pPr>
        <w:spacing w:after="0" w:line="157" w:lineRule="exact"/>
        <w:rPr>
          <w:sz w:val="20"/>
          <w:szCs w:val="20"/>
          <w:color w:val="auto"/>
        </w:rPr>
      </w:pPr>
    </w:p>
    <w:p>
      <w:pPr>
        <w:ind w:right="100" w:firstLine="360"/>
        <w:spacing w:after="0" w:line="259" w:lineRule="auto"/>
        <w:rPr>
          <w:sz w:val="20"/>
          <w:szCs w:val="20"/>
          <w:color w:val="auto"/>
        </w:rPr>
      </w:pPr>
      <w:r>
        <w:rPr>
          <w:rFonts w:ascii="Times New Roman" w:cs="Times New Roman" w:eastAsia="Times New Roman" w:hAnsi="Times New Roman"/>
          <w:sz w:val="20"/>
          <w:szCs w:val="20"/>
          <w:color w:val="auto"/>
        </w:rPr>
        <w:t>The New Convertible Note contain customary events of default, accrue interest at an annual rate of 15.79% payable in cash at maturity and has a maturity date of April 12, 2030 (the “Maturity Date”), unless earlier converted or redeemed in accordance with its terms prior to such date. The Company may not prepay the New Convertible Note or accrued interest prior to the New Maturity Date.</w:t>
      </w:r>
    </w:p>
    <w:p>
      <w:pPr>
        <w:spacing w:after="0" w:line="106" w:lineRule="exact"/>
        <w:rPr>
          <w:sz w:val="20"/>
          <w:szCs w:val="20"/>
          <w:color w:val="auto"/>
        </w:rPr>
      </w:pPr>
    </w:p>
    <w:p>
      <w:pPr>
        <w:ind w:right="60" w:firstLine="360"/>
        <w:spacing w:after="0" w:line="244" w:lineRule="auto"/>
        <w:rPr>
          <w:sz w:val="20"/>
          <w:szCs w:val="20"/>
          <w:color w:val="auto"/>
        </w:rPr>
      </w:pPr>
      <w:r>
        <w:rPr>
          <w:rFonts w:ascii="Times New Roman" w:cs="Times New Roman" w:eastAsia="Times New Roman" w:hAnsi="Times New Roman"/>
          <w:sz w:val="20"/>
          <w:szCs w:val="20"/>
          <w:color w:val="auto"/>
        </w:rPr>
        <w:t>If, prior to the New Maturity Date, the Company consummates a bona-fide third-party financing after the issuance of the New Convertible Note in the form of common stock or any securities convertible into, or exchangeable or exercisable for, common stock (subject to certain exceptions as described in the New Convertible Note), in one or more transactions or a series of related and substantially similar and simultaneous transactions at the same purchase price from third parties unaffiliated with Daewoong and its affiliates, for aggregate gross cash proceeds to the Company of at least $30.0 million (a “Qualified Financing”), then, upon written notice thereof to Daewoong by the Company, on the closing date of such Qualified Financing, the New Convertible Note will automatically convert in whole, without any further action by Daewoong, into a number of shares of common stock or pre-funded warrants equal to: (i) one and three tenths (1.3) multiplied by (ii) the quotient of (a) the principal amount of the New Convertible Note and all accrued and unpaid interest to be converted divided by (b) the per share price of the common stock sold in the Qualified Financing.</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800"/>
          </w:cols>
          <w:pgMar w:left="540" w:top="1349" w:right="540" w:bottom="0" w:gutter="0" w:footer="0" w:header="0"/>
          <w:type w:val="continuous"/>
        </w:sectPr>
      </w:pPr>
    </w:p>
    <w:bookmarkStart w:id="77" w:name="page78"/>
    <w:bookmarkEnd w:id="77"/>
    <w:p>
      <w:pPr>
        <w:ind w:firstLine="361"/>
        <w:spacing w:after="0" w:line="244" w:lineRule="auto"/>
        <w:rPr>
          <w:sz w:val="20"/>
          <w:szCs w:val="20"/>
          <w:color w:val="auto"/>
        </w:rPr>
      </w:pPr>
      <w:r>
        <w:rPr>
          <w:rFonts w:ascii="Times New Roman" w:cs="Times New Roman" w:eastAsia="Times New Roman" w:hAnsi="Times New Roman"/>
          <w:sz w:val="20"/>
          <w:szCs w:val="20"/>
          <w:color w:val="auto"/>
        </w:rPr>
        <w:t>If, prior to the New Maturity Date, the Company provides (i) written notice to Daewoong that it has publicly announced the submission of a Biologics License Application filing for ABP-450 as a biosimilar to Botox® (onabotulinumtoxinA) or (ii) a written notice that the Company has consummated a Change of Control (as defined in the New Convertible Note), Daewoong will have the right for thirty (30) days following receipt of either such notice, at Daewoong’s option (the “Optional Conversion”), to convert all (but not less than all) of the remaining outstanding portion of the New Convertible Note (subject to any limitations under the rules of NYSE American) into an amount of shares of common stock or pre-funded warrants equal to: (i) one and three tenths (1.3) multiplied by (ii) the quotient of (a) the principal amount of the New Convertible Note and all accrued and unpaid interest to be converted divided by (b) the volume-weighted average trading per share price of common stock over the five (5) trading days prior to the Company’s receipt of Daewoong’s written notice of exercise of the Optional Conversion.</w:t>
      </w:r>
    </w:p>
    <w:p>
      <w:pPr>
        <w:spacing w:after="0" w:line="126"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The New Convertible Note included a covenant that restrict the Company’s and AEON Biopharma Sub Inc.’s (the “AEON Sub”) ability to issue debt securities senior or pari passu to such New Convertible Note without Daewoong’s prior written consent. The New Convertible Note also included a covenant that restricts the Company and AEON Sub’s ability to issue debt securities junior to such New Convertible Note except as expressly permitted under a security agreement to be entered into between the Company, AEON Sub and Daewoong in connection with Closing.</w:t>
      </w:r>
    </w:p>
    <w:p>
      <w:pPr>
        <w:spacing w:after="0" w:line="118" w:lineRule="exact"/>
        <w:rPr>
          <w:sz w:val="20"/>
          <w:szCs w:val="20"/>
          <w:color w:val="auto"/>
        </w:rPr>
      </w:pPr>
    </w:p>
    <w:p>
      <w:pPr>
        <w:ind w:right="120" w:firstLine="361"/>
        <w:spacing w:after="0" w:line="252" w:lineRule="auto"/>
        <w:rPr>
          <w:sz w:val="20"/>
          <w:szCs w:val="20"/>
          <w:color w:val="auto"/>
        </w:rPr>
      </w:pPr>
      <w:r>
        <w:rPr>
          <w:rFonts w:ascii="Times New Roman" w:cs="Times New Roman" w:eastAsia="Times New Roman" w:hAnsi="Times New Roman"/>
          <w:sz w:val="20"/>
          <w:szCs w:val="20"/>
          <w:color w:val="auto"/>
        </w:rPr>
        <w:t>In connection with issuing the New Convertible Note, the Company and AEON Sub granted a first-priority security interest on substantially all of their respective assets, other than certain permitted liens described in the New Convertible Note. Upon the occurrence and continuation of an event of default, Daewoong will be entitled to, among other things, foreclose on the assets that are the subject of the security interest.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Daewoong Pre-Funded Warrants and Daewoong Warrants</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Under the Exchange Agreement and the New Convertible Note, Daewoong Pre-Funded Warrants may be issued in lieu of shares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common stock and each Daewoong Pre-Funded Warrant is exercisable for one share of common stock at an exercise price of</w:t>
      </w:r>
    </w:p>
    <w:p>
      <w:pPr>
        <w:spacing w:after="0"/>
        <w:rPr>
          <w:sz w:val="20"/>
          <w:szCs w:val="20"/>
          <w:color w:val="auto"/>
        </w:rPr>
      </w:pPr>
      <w:r>
        <w:rPr>
          <w:rFonts w:ascii="Times New Roman" w:cs="Times New Roman" w:eastAsia="Times New Roman" w:hAnsi="Times New Roman"/>
          <w:sz w:val="20"/>
          <w:szCs w:val="20"/>
          <w:color w:val="auto"/>
        </w:rPr>
        <w:t>$0.0001 per share. The Daewoong Pre-Funded Warrants are immediately exercisable after issuance and may be exercised at any time</w:t>
      </w:r>
    </w:p>
    <w:p>
      <w:pPr>
        <w:spacing w:after="0"/>
        <w:rPr>
          <w:sz w:val="20"/>
          <w:szCs w:val="20"/>
          <w:color w:val="auto"/>
        </w:rPr>
      </w:pPr>
      <w:r>
        <w:rPr>
          <w:rFonts w:ascii="Times New Roman" w:cs="Times New Roman" w:eastAsia="Times New Roman" w:hAnsi="Times New Roman"/>
          <w:sz w:val="20"/>
          <w:szCs w:val="20"/>
          <w:color w:val="auto"/>
        </w:rPr>
        <w:t>until all of the Daewoong Pre-Funded Warrants are exercised in full.</w:t>
      </w:r>
    </w:p>
    <w:p>
      <w:pPr>
        <w:spacing w:after="0" w:line="132" w:lineRule="exact"/>
        <w:rPr>
          <w:sz w:val="20"/>
          <w:szCs w:val="20"/>
          <w:color w:val="auto"/>
        </w:rPr>
      </w:pPr>
    </w:p>
    <w:p>
      <w:pPr>
        <w:ind w:right="180" w:firstLine="360"/>
        <w:spacing w:after="0" w:line="279" w:lineRule="auto"/>
        <w:rPr>
          <w:sz w:val="20"/>
          <w:szCs w:val="20"/>
          <w:color w:val="auto"/>
        </w:rPr>
      </w:pPr>
      <w:r>
        <w:rPr>
          <w:rFonts w:ascii="Times New Roman" w:cs="Times New Roman" w:eastAsia="Times New Roman" w:hAnsi="Times New Roman"/>
          <w:sz w:val="19"/>
          <w:szCs w:val="19"/>
          <w:color w:val="auto"/>
        </w:rPr>
        <w:t>The Daewoong Warrants are substantially identical to the warrants to purchase common stock to be issued pursuant to the PIPE Financing, which are exercisable at an exercise price of $1.09392 per share and may only be exercised for cash. The Daewoong Warrants are immediately exercisable after issuance and may be exercisable at any time until the five-year anniversary of issuance.</w:t>
      </w:r>
    </w:p>
    <w:p>
      <w:pPr>
        <w:spacing w:after="0" w:line="88" w:lineRule="exact"/>
        <w:rPr>
          <w:sz w:val="20"/>
          <w:szCs w:val="20"/>
          <w:color w:val="auto"/>
        </w:rPr>
      </w:pPr>
    </w:p>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The exercise prices and the number of shares issuable upon exercise of the Daewoong Pre-Funded Warrants and the Daewoong Warrants are subject to customary adjustments in the case of stock dividends, stock splits, pro rata distributions, and similar events in respect of the common stock. In addition, the number of shares of the common stock underlying, and the exercise price of, the Daewoong Warrants are subject to full ratchet antidilution protection and standard adjustments in the event of a share split, reverse share split, share dividend, share combination recapitalization or other similar transaction involving the common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Amendment to License Agreement</w:t>
      </w:r>
    </w:p>
    <w:p>
      <w:pPr>
        <w:spacing w:after="0" w:line="158" w:lineRule="exact"/>
        <w:rPr>
          <w:sz w:val="20"/>
          <w:szCs w:val="20"/>
          <w:color w:val="auto"/>
        </w:rPr>
      </w:pPr>
    </w:p>
    <w:p>
      <w:pPr>
        <w:ind w:right="40" w:firstLine="361"/>
        <w:spacing w:after="0" w:line="243" w:lineRule="auto"/>
        <w:rPr>
          <w:sz w:val="20"/>
          <w:szCs w:val="20"/>
          <w:color w:val="auto"/>
        </w:rPr>
      </w:pPr>
      <w:r>
        <w:rPr>
          <w:rFonts w:ascii="Times New Roman" w:cs="Times New Roman" w:eastAsia="Times New Roman" w:hAnsi="Times New Roman"/>
          <w:sz w:val="20"/>
          <w:szCs w:val="20"/>
          <w:color w:val="auto"/>
        </w:rPr>
        <w:t>In connection with the Exchange, on January 21, 2026, the Company entered into a Fifth Amendment to the License and Supply Agreement (the “License Agreement Amendment”) with Daewoong, which amends the License and Supply Agreement, by and between the Company and Daewoong, dated December 20, 2019, as amended on July 29, 2022, January 8, 2023, April 24, 2023 and March 19, 2024. Pursuant to the terms of the License Agreement Amendment, the definition of “Notes” reflects the Exchange and the Termination Purchase Right (as defined in the License Agreement Amendment) will terminate and expire upon Daewoong’s sale of 50% of its common stock, including common stock held by its affiliates and common stock that would be issued upon conversion of the New Convertible Note. The License Agreement, as amended from time to time, also provides that the License Agreement will terminate if, over any six-month period, (a) we cease to commercialize ABP-450 in certain territories specified in the License Agreement and (b) we cease to advance any clinical studies of ABP-450 in such territories. Additionally, the License Agreement also provides that, in the event that the License Agreement is terminated for the foregoing reasons, Daewoong will have the right to purchase all Know-How (as defined in the License Agreement) related to ABP-450 for a price of $1.00 (the “Termination Purchase Right”).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ATM Offering of Common Stock</w:t>
      </w:r>
    </w:p>
    <w:p>
      <w:pPr>
        <w:spacing w:after="0" w:line="243" w:lineRule="exact"/>
        <w:rPr>
          <w:sz w:val="20"/>
          <w:szCs w:val="20"/>
          <w:color w:val="auto"/>
        </w:rPr>
      </w:pPr>
    </w:p>
    <w:p>
      <w:pPr>
        <w:ind w:right="280" w:firstLine="360"/>
        <w:spacing w:after="0" w:line="278" w:lineRule="auto"/>
        <w:rPr>
          <w:sz w:val="20"/>
          <w:szCs w:val="20"/>
          <w:color w:val="auto"/>
        </w:rPr>
      </w:pPr>
      <w:r>
        <w:rPr>
          <w:rFonts w:ascii="Times New Roman" w:cs="Times New Roman" w:eastAsia="Times New Roman" w:hAnsi="Times New Roman"/>
          <w:sz w:val="20"/>
          <w:szCs w:val="20"/>
          <w:color w:val="auto"/>
        </w:rPr>
        <w:t>From January 1, 2026 through March 27, 2026, the Company issued 1,278,776 shares under the ATM for net proceeds of $1.7 million, approximately $47.9 million of common stock remained available to be sold under the ATM.</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760"/>
          </w:cols>
          <w:pgMar w:left="540" w:top="1349" w:right="58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color w:val="auto"/>
        </w:rPr>
        <w:t>Reverse Stock Split</w:t>
      </w:r>
    </w:p>
    <w:p>
      <w:pPr>
        <w:spacing w:after="0" w:line="243"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On February 24, 2025, following a special meeting of shareholders, the Board approved the filing of a Certificate of Amendment to the Certificate of Incorporation to effect a reverse stock split at a split ratio of 1-for-72 (the “Reverse Stock Split”). As a result of the Reverse Stock Split, each 72 pre-split shares of common stock outstanding was automatically combined into one new share of common stock without any action on the part of the holders. The Reverse Stock Split affected all of the Company’s stockholders uniformly and did not affect any stockholder’s percentage ownership interests in the Company. No fractional shares were issued in connection with the Reverse Stock Split. In lieu of fractional shares, any person who would otherwise be entitled to a fractional share of common stock as a result of the reclassification and combination following the effective time of the Reverse Stock Split (after taking into account all fractional shares of common stock otherwise issuable to such holder) instead received a number of shares rounded up to the nearest whole share. Proportional adjustments were made to the number of shares of common stock issuable upon exercise or conversion of the Company’s outstanding equity awards and warrants, as well as the applicable exercise price, except in cases where the applicable agreement provides otherwise. All share and per share amounts in the accompanying consolidated financial statements have been retroactively adjusted to reflect the Reverse Stock Split for all periods presented.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9" w:lineRule="exact"/>
        <w:rPr>
          <w:sz w:val="20"/>
          <w:szCs w:val="20"/>
          <w:color w:val="auto"/>
        </w:rPr>
      </w:pPr>
    </w:p>
    <w:p>
      <w:pPr>
        <w:ind w:right="200" w:firstLine="360"/>
        <w:spacing w:after="0" w:line="278" w:lineRule="auto"/>
        <w:rPr>
          <w:sz w:val="20"/>
          <w:szCs w:val="20"/>
          <w:color w:val="auto"/>
        </w:rPr>
      </w:pPr>
      <w:r>
        <w:rPr>
          <w:rFonts w:ascii="Times New Roman" w:cs="Times New Roman" w:eastAsia="Times New Roman" w:hAnsi="Times New Roman"/>
          <w:sz w:val="20"/>
          <w:szCs w:val="20"/>
          <w:color w:val="auto"/>
        </w:rPr>
        <w:t>We have generated no revenue from the sale of products and do not anticipate deriving any product revenue unless and until we receive regulatory approval for, and are able to successfully commercialize, ABP-450.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237"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Selling, general and administrative expenses (“SG&amp;A”) expenses, consist primarily of compensation for personnel, including stock-based compensation, management, finance, legal, and regulatory functions. Other SG&amp;A expenses include travel expenses, market research and analysis, conferences and trade shows, professional services fees, including legal, audit and tax fees, insurance costs, general corporate expenses, and allocated facilities-related expenses. We anticipate that our SG&amp;A expenses will increase in the future to support our continued R&amp;D, activities. Additionally, we anticipate increased costs associated with being a public company, including expenses related to services associated with maintaining compliance with the requirements of the NYSE American and the SEC, insurance, and investor relations costs. We expect to incur increased costs associated with establishing sales, marketing, and commercialization functions in advance of potential future regulatory approvals and commercialization of our product candidates. If ABP-450 obtains United States regulatory approval for any indication, we expect that we would incur significantly increased expenses associated with building a sales and marketing team and funding commercial activities.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7" w:lineRule="exact"/>
        <w:rPr>
          <w:sz w:val="20"/>
          <w:szCs w:val="20"/>
          <w:color w:val="auto"/>
        </w:rPr>
      </w:pPr>
    </w:p>
    <w:p>
      <w:pPr>
        <w:ind w:right="320" w:firstLine="360"/>
        <w:spacing w:after="0" w:line="247" w:lineRule="auto"/>
        <w:rPr>
          <w:sz w:val="20"/>
          <w:szCs w:val="20"/>
          <w:color w:val="auto"/>
        </w:rPr>
      </w:pPr>
      <w:r>
        <w:rPr>
          <w:rFonts w:ascii="Times New Roman" w:cs="Times New Roman" w:eastAsia="Times New Roman" w:hAnsi="Times New Roman"/>
          <w:sz w:val="20"/>
          <w:szCs w:val="20"/>
          <w:color w:val="auto"/>
        </w:rPr>
        <w:t>Our R&amp;D expenses are primarily attributed to the development of ABP-450 as a biosimilar to the reference product under the 351(k) pathway. Due to the stage of our development and our ability to use resources across all of our programs, most of our R&amp;D costs are not recorded on a program -specific basis. We expect our R&amp;D expenses to continue to increase as we, subject to raising additional capital, develop and seek regulatory approval of ABP-450 as a biosimilar product in the United States through a</w:t>
      </w:r>
    </w:p>
    <w:p>
      <w:pPr>
        <w:spacing w:after="0" w:line="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Section 351(k) BLA, using AbbVie Inc.’s product Botox® as a proposed reference product for all of the indications for which Botox® is approved, other than the cosmetic uses for which we do not hold development or commercialization rights, which may include initiating a Phase 3 study of ABP-450 in cervical dystonia. R&amp;D expenses associated with these activities may include third-party costs such as expenses incurred under agreements with CROs, the cost of consultants who assist with the development of ABP-450 on a program- specific basis, investigator grants, sponsored research, product costs in connection with acquiring ABP-450 from Daewoong and Botox® for use in conducting analytical, preclinical and clinical studies, and other third-party expenses attributable to the development of our product candidates.</w:t>
      </w:r>
    </w:p>
    <w:p>
      <w:pPr>
        <w:spacing w:after="0" w:line="206" w:lineRule="exact"/>
        <w:rPr>
          <w:sz w:val="20"/>
          <w:szCs w:val="20"/>
          <w:color w:val="auto"/>
        </w:rPr>
      </w:pPr>
    </w:p>
    <w:p>
      <w:pPr>
        <w:ind w:right="80" w:firstLine="360"/>
        <w:spacing w:after="0" w:line="270" w:lineRule="auto"/>
        <w:rPr>
          <w:sz w:val="20"/>
          <w:szCs w:val="20"/>
          <w:color w:val="auto"/>
        </w:rPr>
      </w:pPr>
      <w:r>
        <w:rPr>
          <w:rFonts w:ascii="Times New Roman" w:cs="Times New Roman" w:eastAsia="Times New Roman" w:hAnsi="Times New Roman"/>
          <w:sz w:val="19"/>
          <w:szCs w:val="19"/>
          <w:color w:val="auto"/>
        </w:rPr>
        <w:t>R&amp;D activities will be critical to achieving our business strategy. The biosimilar pathway will require greater costs in the beginning stages in order to procure the necessary toxin for the analytical studies. Any clinical studies, such as Phase 3 for cervical dystonia, will generally incur greater development costs than those programs incurred in the earlier stages of clinical development, primarily due to the increased size and duration of later-stage clinical studies. We expect our R&amp;D expenses to be significant over the</w:t>
      </w:r>
    </w:p>
    <w:p>
      <w:pPr>
        <w:sectPr>
          <w:pgSz w:w="11880" w:h="15480" w:orient="portrait"/>
          <w:cols w:equalWidth="0" w:num="1">
            <w:col w:w="10780"/>
          </w:cols>
          <w:pgMar w:left="540" w:top="1347" w:right="56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780"/>
          </w:cols>
          <w:pgMar w:left="540" w:top="1347" w:right="560" w:bottom="0" w:gutter="0" w:footer="0" w:header="0"/>
          <w:type w:val="continuous"/>
        </w:sectPr>
      </w:pPr>
    </w:p>
    <w:bookmarkStart w:id="79" w:name="page80"/>
    <w:bookmarkEnd w:id="79"/>
    <w:p>
      <w:pPr>
        <w:spacing w:after="0" w:line="253" w:lineRule="auto"/>
        <w:rPr>
          <w:sz w:val="20"/>
          <w:szCs w:val="20"/>
          <w:color w:val="auto"/>
        </w:rPr>
      </w:pPr>
      <w:r>
        <w:rPr>
          <w:rFonts w:ascii="Times New Roman" w:cs="Times New Roman" w:eastAsia="Times New Roman" w:hAnsi="Times New Roman"/>
          <w:sz w:val="20"/>
          <w:szCs w:val="20"/>
          <w:color w:val="auto"/>
        </w:rPr>
        <w:t>next years as we pursue the development of ABP-450 as a biosimilar and seek regulatory approval using Botox® as the reference product. As a result, we are unable to determine the duration and completion costs of our programs or when and to what extent we will generate revenue from commercialization and sale of any of our product candidates. Our R&amp;D activities may be subject to change from time to time as we evaluate our priorities and available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in Fair Value of Contingent Consideration</w:t>
      </w:r>
    </w:p>
    <w:p>
      <w:pPr>
        <w:spacing w:after="0" w:line="238"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The Company determined that the contingent consideration would be classified as a liability on the Company’s consolidated balance sheets and remeasured at each reporting period with changes to fair value recorded to the Company’s consolidated statements of operations and comprehensive (loss) income.</w:t>
      </w:r>
    </w:p>
    <w:p>
      <w:pPr>
        <w:spacing w:after="0" w:line="188" w:lineRule="exact"/>
        <w:rPr>
          <w:sz w:val="20"/>
          <w:szCs w:val="20"/>
          <w:color w:val="auto"/>
        </w:rPr>
      </w:pPr>
    </w:p>
    <w:p>
      <w:pPr>
        <w:ind w:right="60" w:firstLine="361"/>
        <w:spacing w:after="0" w:line="247" w:lineRule="auto"/>
        <w:rPr>
          <w:sz w:val="20"/>
          <w:szCs w:val="20"/>
          <w:color w:val="auto"/>
        </w:rPr>
      </w:pPr>
      <w:r>
        <w:rPr>
          <w:rFonts w:ascii="Times New Roman" w:cs="Times New Roman" w:eastAsia="Times New Roman" w:hAnsi="Times New Roman"/>
          <w:sz w:val="20"/>
          <w:szCs w:val="20"/>
          <w:color w:val="auto"/>
        </w:rPr>
        <w:t>The Company recognized gains of $ 3.5 million and $100.8 million for the years ended December 31, 2025 and 2024, respectively, related to the change in the fair value of the contingent consideration related to certain contingent provisions, restrictions and forfeiture provisions for Founder Shares and certain Participating Stockholders shares. The gains were primarily due to impact of stock price fluctuation from $38.88 as of December 31, 2024 to $1.10 as of December 31, 2025 and changes in the milestone probabilities in the second quarter of 2024 following the announcement of the Company’s topline Phase 2 migraine results,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Loss, Net</w:t>
      </w:r>
    </w:p>
    <w:p>
      <w:pPr>
        <w:spacing w:after="0" w:line="237" w:lineRule="exact"/>
        <w:rPr>
          <w:sz w:val="20"/>
          <w:szCs w:val="20"/>
          <w:color w:val="auto"/>
        </w:rPr>
      </w:pPr>
    </w:p>
    <w:p>
      <w:pPr>
        <w:ind w:right="280" w:firstLine="360"/>
        <w:spacing w:after="0" w:line="259" w:lineRule="auto"/>
        <w:rPr>
          <w:sz w:val="20"/>
          <w:szCs w:val="20"/>
          <w:color w:val="auto"/>
        </w:rPr>
      </w:pPr>
      <w:r>
        <w:rPr>
          <w:rFonts w:ascii="Times New Roman" w:cs="Times New Roman" w:eastAsia="Times New Roman" w:hAnsi="Times New Roman"/>
          <w:sz w:val="20"/>
          <w:szCs w:val="20"/>
          <w:color w:val="auto"/>
        </w:rPr>
        <w:t>Other loss, net primarily consist of gains and losses resulting from the remeasurement of the fair value of our convertible notes and warrant liabilities, issuance of warrants, issuance of derivative liability and termination of forward purchase agreements, each described below.</w:t>
      </w:r>
    </w:p>
    <w:p>
      <w:pPr>
        <w:spacing w:after="0" w:line="186" w:lineRule="exact"/>
        <w:rPr>
          <w:sz w:val="20"/>
          <w:szCs w:val="20"/>
          <w:color w:val="auto"/>
        </w:rPr>
      </w:pPr>
    </w:p>
    <w:p>
      <w:pPr>
        <w:ind w:right="20" w:firstLine="360"/>
        <w:spacing w:after="0" w:line="246" w:lineRule="auto"/>
        <w:rPr>
          <w:sz w:val="20"/>
          <w:szCs w:val="20"/>
          <w:color w:val="auto"/>
        </w:rPr>
      </w:pPr>
      <w:r>
        <w:rPr>
          <w:rFonts w:ascii="Times New Roman" w:cs="Times New Roman" w:eastAsia="Times New Roman" w:hAnsi="Times New Roman"/>
          <w:sz w:val="20"/>
          <w:szCs w:val="20"/>
          <w:color w:val="auto"/>
        </w:rPr>
        <w:t>Change in fair value of convertible notes – The Company elected the fair value option to account for its convertible notes, with the subsequent changes in fair value recorded in the consolidated statement of operations and comprehensive (loss) income. The fair value of the convertible notes was determined based on Level 3 inputs using a scenario-based analysis that estimated the fair value of the convertible notes based on the probability-weighted present value of expected future investment returns, considering each of the possible outcomes available to the noteholders, including various qualified financings, corporate transaction and dissolution scenarios. The significant unobservable input assumptions that can significantly change the fair value included (i) the discount rates, (ii) the timing of payments, and (iii) the probability of certain settlement scenarios.</w:t>
      </w:r>
    </w:p>
    <w:p>
      <w:pPr>
        <w:spacing w:after="0" w:line="201" w:lineRule="exact"/>
        <w:rPr>
          <w:sz w:val="20"/>
          <w:szCs w:val="20"/>
          <w:color w:val="auto"/>
        </w:rPr>
      </w:pPr>
    </w:p>
    <w:p>
      <w:pPr>
        <w:ind w:right="140" w:firstLine="361"/>
        <w:spacing w:after="0" w:line="252" w:lineRule="auto"/>
        <w:rPr>
          <w:sz w:val="20"/>
          <w:szCs w:val="20"/>
          <w:color w:val="auto"/>
        </w:rPr>
      </w:pPr>
      <w:r>
        <w:rPr>
          <w:rFonts w:ascii="Times New Roman" w:cs="Times New Roman" w:eastAsia="Times New Roman" w:hAnsi="Times New Roman"/>
          <w:sz w:val="20"/>
          <w:szCs w:val="20"/>
          <w:color w:val="auto"/>
        </w:rPr>
        <w:t>Loss on issuance of warrants – The Company issued warrants in the first quarter of 2025 related to the Offering in that had grant date fair values of $94.0 million on January 7, 2025 and was recorded as a liability as of grant date. Proceeds were allocated to the warrant liabilities based on the fair value as of grant date of the warrants of $94.0 million. As the fair value of the warrants issued were greater than the proceeds received, the Company recognized a loss on issuance of warrants of $75.6 million.</w:t>
      </w:r>
    </w:p>
    <w:p>
      <w:pPr>
        <w:spacing w:after="0" w:line="193"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Change in fair value of warrants – Changes in the estimated fair value of our warrant liabilities are recognized as a non-cash gain or loss on the consolidated statements of operations and comprehensive (loss) income. The significant unobservable input assumptions that can significantly change the fair value included (i) stock price, (ii) risk-free rate, (iii) volatility and (iv) term of warrant.</w:t>
      </w:r>
    </w:p>
    <w:p>
      <w:pPr>
        <w:spacing w:after="0" w:line="168"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Loss on derivative liability – In connection with the First Closing of the PIPE Financing occurring in the fourth quarter of 2025 and the Second Closing occurring in the first quarter of 2026, the Company determined that the PIPE Financing included derivative liabilities to issue a variable number of warrants at a future date, and as such, recorded derivative liability for the tranche right obligation, PIPE Warrants and True-up Warrants on the consolidated balance sheets as of December 31, 2025. For the First Closing, proceeds were allocated to the derivative liability based on the fair value as of grant date of $12.4 million. As the fair value of the derivatives issued are greater than the proceeds received, the Company recognized a loss on derivative liability issued of $10.6 million. Additionally, the subsequent changes in fair value of the derivative liability was a loss of $2.5 million and was recorded in the consolidated statement of operations and comprehensive (loss) income for the year ended December 31, 2025.</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780"/>
          </w:cols>
          <w:pgMar w:left="540" w:top="1349" w:right="560" w:bottom="0" w:gutter="0" w:footer="0" w:header="0"/>
          <w:type w:val="continuous"/>
        </w:sectPr>
      </w:pPr>
    </w:p>
    <w:bookmarkStart w:id="80" w:name="page81"/>
    <w:bookmarkEnd w:id="80"/>
    <w:p>
      <w:pPr>
        <w:ind w:right="100" w:firstLine="361"/>
        <w:spacing w:after="0" w:line="245" w:lineRule="auto"/>
        <w:rPr>
          <w:sz w:val="20"/>
          <w:szCs w:val="20"/>
          <w:color w:val="auto"/>
        </w:rPr>
      </w:pPr>
      <w:r>
        <w:rPr>
          <w:rFonts w:ascii="Times New Roman" w:cs="Times New Roman" w:eastAsia="Times New Roman" w:hAnsi="Times New Roman"/>
          <w:sz w:val="20"/>
          <w:szCs w:val="20"/>
          <w:color w:val="auto"/>
        </w:rPr>
        <w:t>Loss on embedded forward purchase agreements – the Company has determined that each of its forward purchase agreements entered in connection with the Merger is a freestanding hybrid financial instrument comprising a subscription receivable and embedded features, which were bifurcated and accounted for separately as derivative instruments. The Company recorded the derivatives as liabilities and measured them at fair value. Subsequent changes in the bifurcated derivatives are recorded in the consolidated statements of operations and comprehensive (loss) income. Upon termination of the forward purchase agreements in the second quarter of fiscal 2024, the Company recorded a charge to the consolidated statement of operations and comprehensive (loss) income of $20.3 million to reverse the related subscription receivable and derivative liability on the accompanying consolidated balance sheet.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periods indicated (in thousands):</w:t>
      </w:r>
    </w:p>
    <w:p>
      <w:pPr>
        <w:spacing w:after="0" w:line="259"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gridSpan w:val="8"/>
          </w:tcPr>
          <w:p>
            <w:pPr>
              <w:ind w:left="4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0" w:type="dxa"/>
            <w:vAlign w:val="bottom"/>
          </w:tcPr>
          <w:p>
            <w:pPr>
              <w:spacing w:after="0"/>
              <w:rPr>
                <w:sz w:val="1"/>
                <w:szCs w:val="1"/>
                <w:color w:val="auto"/>
              </w:rPr>
            </w:pPr>
          </w:p>
        </w:tc>
      </w:tr>
      <w:tr>
        <w:trPr>
          <w:trHeight w:val="174"/>
        </w:trPr>
        <w:tc>
          <w:tcPr>
            <w:tcW w:w="5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42"/>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2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7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Selling, general and administrative . . . . . . . . . . . . . . . . . . . . . . . . .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Research and development . . . . . . . . . . . . . . . . . . . . . . . . . . . . . . . . .</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Change in fair value of contingent consideration . . . . . . . . . . . . . . .</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(3,499)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(100,809)</w:t>
            </w:r>
          </w:p>
        </w:tc>
        <w:tc>
          <w:tcPr>
            <w:tcW w:w="0" w:type="dxa"/>
            <w:vAlign w:val="bottom"/>
          </w:tcPr>
          <w:p>
            <w:pPr>
              <w:spacing w:after="0"/>
              <w:rPr>
                <w:sz w:val="1"/>
                <w:szCs w:val="1"/>
                <w:color w:val="auto"/>
              </w:rPr>
            </w:pPr>
          </w:p>
        </w:tc>
      </w:tr>
      <w:tr>
        <w:trPr>
          <w:trHeight w:val="220"/>
        </w:trPr>
        <w:tc>
          <w:tcPr>
            <w:tcW w:w="5740" w:type="dxa"/>
            <w:vAlign w:val="bottom"/>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 . . . . . . . . . . . . . . . . . . . . . . . .Totaloperatingcostsandexpenses</w:t>
            </w: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12,803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(72,985)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740" w:type="dxa"/>
            <w:vAlign w:val="bottom"/>
          </w:tcPr>
          <w:p>
            <w:pPr>
              <w:jc w:val="right"/>
              <w:ind w:right="220"/>
              <w:spacing w:after="0" w:line="200" w:lineRule="exact"/>
              <w:rPr>
                <w:sz w:val="20"/>
                <w:szCs w:val="20"/>
                <w:color w:val="auto"/>
              </w:rPr>
            </w:pPr>
            <w:r>
              <w:rPr>
                <w:rFonts w:ascii="Times New Roman" w:cs="Times New Roman" w:eastAsia="Times New Roman" w:hAnsi="Times New Roman"/>
                <w:sz w:val="20"/>
                <w:szCs w:val="20"/>
                <w:color w:val="auto"/>
              </w:rPr>
              <w:t>. . . . . . . . . . . . . . . . . . . . . . . . . . . . . . .(Loss)incomefromoperations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(12,803)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72,985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Other (loss) income:</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Change in fair value of convertible notes . . . . . . . . . . . . . . . . . . . . .</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(22,911)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Change in fair value of warrants . . . . . . . . . . . . . . . . . . . . . . . . . . . .</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84,934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(14,719)</w:t>
            </w:r>
          </w:p>
        </w:tc>
        <w:tc>
          <w:tcPr>
            <w:tcW w:w="0" w:type="dxa"/>
            <w:vAlign w:val="bottom"/>
          </w:tcPr>
          <w:p>
            <w:pPr>
              <w:spacing w:after="0"/>
              <w:rPr>
                <w:sz w:val="1"/>
                <w:szCs w:val="1"/>
                <w:color w:val="auto"/>
              </w:rPr>
            </w:pPr>
          </w:p>
        </w:tc>
      </w:tr>
      <w:tr>
        <w:trPr>
          <w:trHeight w:val="230"/>
        </w:trPr>
        <w:tc>
          <w:tcPr>
            <w:tcW w:w="57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Loss on issuance of warrants . . . . . . . . . . . . . . . . . . . . . . . . . . . . . . .</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(75,644)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7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Loss on embedded forward purchase agreements. . . . . . . . . . . . . . .</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(19,667)</w:t>
            </w:r>
          </w:p>
        </w:tc>
        <w:tc>
          <w:tcPr>
            <w:tcW w:w="0" w:type="dxa"/>
            <w:vAlign w:val="bottom"/>
          </w:tcPr>
          <w:p>
            <w:pPr>
              <w:spacing w:after="0"/>
              <w:rPr>
                <w:sz w:val="1"/>
                <w:szCs w:val="1"/>
                <w:color w:val="auto"/>
              </w:rPr>
            </w:pPr>
          </w:p>
        </w:tc>
      </w:tr>
      <w:tr>
        <w:trPr>
          <w:trHeight w:val="229"/>
        </w:trPr>
        <w:tc>
          <w:tcPr>
            <w:tcW w:w="57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Loss on derivative liability . . . . . . . . . . . . . . . . . . . . . . . . . . . . . . . . .</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(13,088)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57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Other income, net . . . . . . . . . . . . . . . . . . . . . . . . . . . . . . . . . . . . . . . .</w:t>
            </w: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740" w:type="dxa"/>
            <w:vAlign w:val="bottom"/>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.Totalotherloss,net</w:t>
            </w: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(26,419)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740" w:type="dxa"/>
            <w:vAlign w:val="bottom"/>
          </w:tcPr>
          <w:p>
            <w:pPr>
              <w:jc w:val="right"/>
              <w:ind w:right="220"/>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 .(Loss)incomebeforetaxes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(39,222)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42,005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7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5"/>
              </w:rPr>
              <w:t>Income taxes . . . . . . . . . . . . . . . . . . . . . . . . . . . . . . . . . . . . . . . . . . . . . .</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5740" w:type="dxa"/>
            <w:vAlign w:val="bottom"/>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w w:val="98"/>
              </w:rPr>
              <w:t>. . . . . . . . . . . . . . . . . . . . . . . . . . . . . . . . . . . . . . . . . .Net(loss)income</w:t>
            </w:r>
          </w:p>
        </w:tc>
        <w:tc>
          <w:tcPr>
            <w:tcW w:w="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(39,222)</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4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.Basicnet(loss)incomepershare</w:t>
            </w:r>
          </w:p>
        </w:tc>
        <w:tc>
          <w:tcPr>
            <w:tcW w:w="20" w:type="dxa"/>
            <w:vAlign w:val="bottom"/>
          </w:tcPr>
          <w:p>
            <w:pPr>
              <w:spacing w:after="0"/>
              <w:rPr>
                <w:sz w:val="20"/>
                <w:szCs w:val="20"/>
                <w:color w:val="auto"/>
              </w:rPr>
            </w:pPr>
          </w:p>
        </w:tc>
        <w:tc>
          <w:tcPr>
            <w:tcW w:w="360" w:type="dxa"/>
            <w:vAlign w:val="bottom"/>
            <w:tcBorders>
              <w:bottom w:val="single" w:sz="8" w:color="auto"/>
            </w:tcBorders>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(3.95)</w:t>
            </w:r>
          </w:p>
        </w:tc>
        <w:tc>
          <w:tcPr>
            <w:tcW w:w="40" w:type="dxa"/>
            <w:vAlign w:val="bottom"/>
            <w:tcBorders>
              <w:bottom w:val="single" w:sz="8" w:color="auto"/>
            </w:tcBorders>
            <w:gridSpan w:val="2"/>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77.74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740" w:type="dxa"/>
            <w:vAlign w:val="bottom"/>
          </w:tcPr>
          <w:p>
            <w:pPr>
              <w:jc w:val="right"/>
              <w:ind w:right="220"/>
              <w:spacing w:after="0" w:line="219" w:lineRule="exact"/>
              <w:rPr>
                <w:sz w:val="20"/>
                <w:szCs w:val="20"/>
                <w:color w:val="auto"/>
              </w:rPr>
            </w:pPr>
            <w:r>
              <w:rPr>
                <w:rFonts w:ascii="Times New Roman" w:cs="Times New Roman" w:eastAsia="Times New Roman" w:hAnsi="Times New Roman"/>
                <w:sz w:val="20"/>
                <w:szCs w:val="20"/>
                <w:color w:val="auto"/>
              </w:rPr>
              <w:t>. . . . . . . . . . . . . . . . . . . . . . . . . . .Dilutednet(loss)incomepershare</w:t>
            </w: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(3.95)</w:t>
            </w:r>
          </w:p>
        </w:tc>
        <w:tc>
          <w:tcPr>
            <w:tcW w:w="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74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Weighted average shares of common stock outstanding used to</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7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compute basic net (loss) income per share . . . . . . . . . . . . . . . . . . . . . .</w:t>
            </w: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9,921,587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540,360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74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Weighted average shares of common stock outstanding used to</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7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compute diluted net (loss) income per share . . . . . . . . . . . . . . . . . . . .</w:t>
            </w: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9,921,587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575,945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Comparison of the year ended December 31, 2025 to the year ended December 31,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Expenses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(SG&amp;A) Expenses</w:t>
      </w:r>
    </w:p>
    <w:p>
      <w:pPr>
        <w:spacing w:after="0" w:line="237"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SG&amp;A expenses were $12.2 million for the year ended December 31, 2025, a decrease of $1.4 million, or 11%, compared to $13.6 million for the year ended December 31, 2024. The decrease in SG&amp;A expenses was primarily attributable to a decrease in professional and legal fees including lack of registration statement filing, gain related to reversal of share-based compensation expense related to RSU with earnout criteria determined to be improbable in the third quarter of 2025, gain on the settlement with Odeon in the third quarter of 2025, and decrease in business insurance expenses; partially offset by increases in stock-based compensation primarily from cash-settled RSU’s issued in second quarter of 2025 and increases in payroll-related expenses including bonuses achieved in the current year compared to prior year.</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780"/>
          </w:cols>
          <w:pgMar w:left="540" w:top="1349" w:right="56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i w:val="1"/>
          <w:iCs w:val="1"/>
          <w:color w:val="auto"/>
        </w:rPr>
        <w:t>Research and Development (R&amp;D) Expenses</w:t>
      </w:r>
    </w:p>
    <w:p>
      <w:pPr>
        <w:spacing w:after="0" w:line="237"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R&amp;D expenses were $ 4.1 million for the year ended December 31, 2025, a decrease of $10.1 million, or 71%, compared to $14.2 million for the year ending December 31, 2024. The decrease was primarily attributable to decreases in R&amp;D expenses to wind down of Phase 2 clinical trials related to chronic and episodic migraine and cervical dystonia, including settlement of outstanding liabilities with the Company’s clinical research organization; offset by increases in biosimilar R&amp;D consulting and payroll-related expenses including bonuses achieved in the current year compared to prior year.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in Fair Value of Contingent Consideration</w:t>
      </w:r>
    </w:p>
    <w:p>
      <w:pPr>
        <w:spacing w:after="0" w:line="237" w:lineRule="exact"/>
        <w:rPr>
          <w:sz w:val="20"/>
          <w:szCs w:val="20"/>
          <w:color w:val="auto"/>
        </w:rPr>
      </w:pPr>
    </w:p>
    <w:p>
      <w:pPr>
        <w:ind w:right="260" w:firstLine="360"/>
        <w:spacing w:after="0" w:line="247" w:lineRule="auto"/>
        <w:rPr>
          <w:sz w:val="20"/>
          <w:szCs w:val="20"/>
          <w:color w:val="auto"/>
        </w:rPr>
      </w:pPr>
      <w:r>
        <w:rPr>
          <w:rFonts w:ascii="Times New Roman" w:cs="Times New Roman" w:eastAsia="Times New Roman" w:hAnsi="Times New Roman"/>
          <w:sz w:val="20"/>
          <w:szCs w:val="20"/>
          <w:color w:val="auto"/>
        </w:rPr>
        <w:t>The Company recognized gains of $3.5 million and $100.8 million for years ended December 31, 2025 and 2024, respectively, related to the change in the fair value of the contingent consideration related to certain contingent provisions, restrictions and forfeiture provisions for Founder Shares and certain Participating Stockholders shares. The gains were primarily due to impact of stock price fluctuation from $38.88 as of December 31, 2024 to $1.10 as of December 31, 2025 and changes in the milestone probabilities in the second quarter of 2024 following the announcement of the Company’s topline Phase 2 migraine results,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Loss, Net</w:t>
      </w:r>
    </w:p>
    <w:p>
      <w:pPr>
        <w:spacing w:after="0" w:line="237" w:lineRule="exact"/>
        <w:rPr>
          <w:sz w:val="20"/>
          <w:szCs w:val="20"/>
          <w:color w:val="auto"/>
        </w:rPr>
      </w:pPr>
    </w:p>
    <w:p>
      <w:pPr>
        <w:ind w:right="280" w:firstLine="360"/>
        <w:spacing w:after="0" w:line="259" w:lineRule="auto"/>
        <w:rPr>
          <w:sz w:val="20"/>
          <w:szCs w:val="20"/>
          <w:color w:val="auto"/>
        </w:rPr>
      </w:pPr>
      <w:r>
        <w:rPr>
          <w:rFonts w:ascii="Times New Roman" w:cs="Times New Roman" w:eastAsia="Times New Roman" w:hAnsi="Times New Roman"/>
          <w:sz w:val="20"/>
          <w:szCs w:val="20"/>
          <w:color w:val="auto"/>
        </w:rPr>
        <w:t>Other loss, net primarily consist of gains and losses resulting from the remeasurement of the fair value of our convertible notes and warrant liabilities, issuance of warrants, issuance of derivative liability and termination of forward purchase agreements, each described below.</w:t>
      </w:r>
    </w:p>
    <w:p>
      <w:pPr>
        <w:spacing w:after="0" w:line="186" w:lineRule="exact"/>
        <w:rPr>
          <w:sz w:val="20"/>
          <w:szCs w:val="20"/>
          <w:color w:val="auto"/>
        </w:rPr>
      </w:pPr>
    </w:p>
    <w:p>
      <w:pPr>
        <w:ind w:right="260" w:firstLine="360"/>
        <w:spacing w:after="0" w:line="270" w:lineRule="auto"/>
        <w:rPr>
          <w:sz w:val="20"/>
          <w:szCs w:val="20"/>
          <w:color w:val="auto"/>
        </w:rPr>
      </w:pPr>
      <w:r>
        <w:rPr>
          <w:rFonts w:ascii="Times New Roman" w:cs="Times New Roman" w:eastAsia="Times New Roman" w:hAnsi="Times New Roman"/>
          <w:sz w:val="19"/>
          <w:szCs w:val="19"/>
          <w:color w:val="auto"/>
        </w:rPr>
        <w:t>Change in fair value of convertible notes – The Company elected the fair value option to account for its convertible notes, with the subsequent changes in fair value recorded in the consolidated statement of operations and comprehensive (loss) income. The Company recognized loss of $22.9 million and gain of $3.3 million for the years ended December 31, 2025 and 2024, respectively, primarily due to changes in conversion probabilities of the Daewoong convertible notes and changes in the Company’s stock price.</w:t>
      </w:r>
    </w:p>
    <w:p>
      <w:pPr>
        <w:spacing w:after="0" w:line="177" w:lineRule="exact"/>
        <w:rPr>
          <w:sz w:val="20"/>
          <w:szCs w:val="20"/>
          <w:color w:val="auto"/>
        </w:rPr>
      </w:pPr>
    </w:p>
    <w:p>
      <w:pPr>
        <w:ind w:right="140" w:firstLine="361"/>
        <w:spacing w:after="0" w:line="252" w:lineRule="auto"/>
        <w:rPr>
          <w:sz w:val="20"/>
          <w:szCs w:val="20"/>
          <w:color w:val="auto"/>
        </w:rPr>
      </w:pPr>
      <w:r>
        <w:rPr>
          <w:rFonts w:ascii="Times New Roman" w:cs="Times New Roman" w:eastAsia="Times New Roman" w:hAnsi="Times New Roman"/>
          <w:sz w:val="20"/>
          <w:szCs w:val="20"/>
          <w:color w:val="auto"/>
        </w:rPr>
        <w:t>Loss on issuance of warrants – The Company issued warrants in the first quarter of 2025 related to the Offering in that had grant date fair values of $94.0 million on January 7, 2025 and was recorded as a liability as of grant date. Proceeds were allocated to the warrant liabilities based on the fair value as of grant date of the warrants of $94.0 million. As the fair value of the warrants issued were greater than the proceeds received, the Company recognized a loss on issuance of warrants of $75.6 million.</w:t>
      </w:r>
    </w:p>
    <w:p>
      <w:pPr>
        <w:spacing w:after="0" w:line="195"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Change in fair value of warrants – Changes in the estimated fair value of our warrant liabilities are recognized as a non-cash gain or loss on the consolidated statements of operations and comprehensive (loss) income. For the year ended December 31, 2025 the Company recognized gain of $84.9 million primarily related to change in fair value of the Series A and Series B warrants, compared to a loss of $14.7 million for the year ended December 31, 2024 related to warrants issued at the Closing, primarily due to decrease in stock price from $38.88 per share as of December 31, 2024 to $1.10 per share as of December 31, 2025.</w:t>
      </w:r>
    </w:p>
    <w:p>
      <w:pPr>
        <w:spacing w:after="0" w:line="197"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Loss on derivative liability – In connection with the First Closing of the PIPE Financing occurring in the fourth quarter of 2025 and the Second Closing occurring in the first quarter of 2026, the Company determined that the PIPE Financing included derivative liabilities to issue a variable number of warrants at a future date, and as such, recorded derivative liability for the tranche right obligation, PIPE Warrants and True-up Warrants on the consolidated balance sheets as of December 31, 2025. For the First Closing, proceeds were allocated to the derivative liability based on the fair value as of grant date of $12.4 million. As the fair value of the derivatives issued are greater than the proceeds received, the Company recognized a loss on derivative liability issued of $10.6 million. Additionally, the subsequent changes in fair value of the derivative liability was a loss of $2.5 million and was recorded in the consolidated statement of operations and comprehensive (loss) income for the year ended December 31, 2025.</w:t>
      </w:r>
    </w:p>
    <w:p>
      <w:pPr>
        <w:spacing w:after="0" w:line="201" w:lineRule="exact"/>
        <w:rPr>
          <w:sz w:val="20"/>
          <w:szCs w:val="20"/>
          <w:color w:val="auto"/>
        </w:rPr>
      </w:pPr>
    </w:p>
    <w:p>
      <w:pPr>
        <w:ind w:right="100" w:firstLine="360"/>
        <w:spacing w:after="0" w:line="247" w:lineRule="auto"/>
        <w:rPr>
          <w:sz w:val="20"/>
          <w:szCs w:val="20"/>
          <w:color w:val="auto"/>
        </w:rPr>
      </w:pPr>
      <w:r>
        <w:rPr>
          <w:rFonts w:ascii="Times New Roman" w:cs="Times New Roman" w:eastAsia="Times New Roman" w:hAnsi="Times New Roman"/>
          <w:sz w:val="20"/>
          <w:szCs w:val="20"/>
          <w:color w:val="auto"/>
        </w:rPr>
        <w:t>Loss on embedded forward purchase agreements – the Company has determined that each of its forward purchase agreements entered in connection with the Merger is a freestanding hybrid financial instrument comprising a subscription receivable and embedded features, which were bifurcated and accounted for separately as derivative instruments. The Company recorded the derivatives as liabilities and measured them at fair value. Subsequent changes in the bifurcated derivatives are recorded in the consolidated statements of operations and comprehensive (loss) income. Upon termination of the forward purchase agreements in the second quarter of fiscal 2024, the Company recorded a charge to the consolidated statement of operations and comprehensive (loss)</w:t>
      </w:r>
    </w:p>
    <w:p>
      <w:pPr>
        <w:sectPr>
          <w:pgSz w:w="11880" w:h="15480" w:orient="portrait"/>
          <w:cols w:equalWidth="0" w:num="1">
            <w:col w:w="10780"/>
          </w:cols>
          <w:pgMar w:left="540" w:top="1353"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780"/>
          </w:cols>
          <w:pgMar w:left="540" w:top="1353" w:right="560" w:bottom="0" w:gutter="0" w:footer="0" w:header="0"/>
          <w:type w:val="continuous"/>
        </w:sectPr>
      </w:pPr>
    </w:p>
    <w:bookmarkStart w:id="82" w:name="page83"/>
    <w:bookmarkEnd w:id="82"/>
    <w:p>
      <w:pPr>
        <w:ind w:right="440"/>
        <w:spacing w:after="0" w:line="278" w:lineRule="auto"/>
        <w:rPr>
          <w:sz w:val="20"/>
          <w:szCs w:val="20"/>
          <w:color w:val="auto"/>
        </w:rPr>
      </w:pPr>
      <w:r>
        <w:rPr>
          <w:rFonts w:ascii="Times New Roman" w:cs="Times New Roman" w:eastAsia="Times New Roman" w:hAnsi="Times New Roman"/>
          <w:sz w:val="20"/>
          <w:szCs w:val="20"/>
          <w:color w:val="auto"/>
        </w:rPr>
        <w:t>income of $20.3 million to reverse the related subscription receivable and derivative liability on the accompanying consolidated balance sheet.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3" w:lineRule="exact"/>
        <w:rPr>
          <w:sz w:val="20"/>
          <w:szCs w:val="20"/>
          <w:color w:val="auto"/>
        </w:rPr>
      </w:pPr>
    </w:p>
    <w:p>
      <w:pPr>
        <w:ind w:right="280" w:firstLine="360"/>
        <w:spacing w:after="0" w:line="259" w:lineRule="auto"/>
        <w:rPr>
          <w:sz w:val="20"/>
          <w:szCs w:val="20"/>
          <w:color w:val="auto"/>
        </w:rPr>
      </w:pPr>
      <w:r>
        <w:rPr>
          <w:rFonts w:ascii="Times New Roman" w:cs="Times New Roman" w:eastAsia="Times New Roman" w:hAnsi="Times New Roman"/>
          <w:sz w:val="20"/>
          <w:szCs w:val="20"/>
          <w:color w:val="auto"/>
        </w:rPr>
        <w:t>Our primary sources of capital have been debt financing and equity financing. We have experienced recurring losses from operations and have had a net capital deficiency and negative cash flows from operations since our inception. As of December 31, 2025, we had reported cash and cash equivalents of $3.0 million and an accumulated deficit of $470.8 million.</w:t>
      </w:r>
    </w:p>
    <w:p>
      <w:pPr>
        <w:spacing w:after="0" w:line="186" w:lineRule="exact"/>
        <w:rPr>
          <w:sz w:val="20"/>
          <w:szCs w:val="20"/>
          <w:color w:val="auto"/>
        </w:rPr>
      </w:pPr>
    </w:p>
    <w:p>
      <w:pPr>
        <w:jc w:val="both"/>
        <w:ind w:right="80" w:firstLine="360"/>
        <w:spacing w:after="0" w:line="259" w:lineRule="auto"/>
        <w:rPr>
          <w:sz w:val="20"/>
          <w:szCs w:val="20"/>
          <w:color w:val="auto"/>
        </w:rPr>
      </w:pPr>
      <w:r>
        <w:rPr>
          <w:rFonts w:ascii="Times New Roman" w:cs="Times New Roman" w:eastAsia="Times New Roman" w:hAnsi="Times New Roman"/>
          <w:sz w:val="20"/>
          <w:szCs w:val="20"/>
          <w:color w:val="auto"/>
        </w:rPr>
        <w:t>On January 6, 2025, we entered into the Underwriting Agreement with Aegis pursuant to which the Company agreed to sell and issue shares of common stock and certain Series A and Series B Warrants. The closing of the Offering occurred on January 7, 2025, and the Company received net proceeds of approximately $18.3 million from the Offering.</w:t>
      </w:r>
    </w:p>
    <w:p>
      <w:pPr>
        <w:spacing w:after="0" w:line="186"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20"/>
          <w:szCs w:val="20"/>
          <w:color w:val="auto"/>
        </w:rPr>
        <w:t>On November 12, 2025, we entered into the Securities Purchase Agreement with certain Investors whereby the Company issued and sold to the Investors certain PIPE Shares, PIPE Pre -Funded Warrants, PIPE Warrants and True-up Warrants for total gross proceeds of $6.0 million. The Company received gross proceeds of $1.8 million and $4.2 million upon the First Closing on November 18, 2025 and the Second Closing on January 27, 2026, respectively.</w:t>
      </w:r>
    </w:p>
    <w:p>
      <w:pPr>
        <w:spacing w:after="0" w:line="195"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On November 12, 2025, we entered into the Term Sheet with Daewoong relating to the Exchange of the Subscription Agreement with Daewoong relating to the Existing Notes of $5.0 million and $10.0 million in principal with maturity dates of March 2027 and April 2027, respectively.</w:t>
      </w:r>
    </w:p>
    <w:p>
      <w:pPr>
        <w:spacing w:after="0" w:line="188" w:lineRule="exact"/>
        <w:rPr>
          <w:sz w:val="20"/>
          <w:szCs w:val="20"/>
          <w:color w:val="auto"/>
        </w:rPr>
      </w:pPr>
    </w:p>
    <w:p>
      <w:pPr>
        <w:ind w:right="80" w:firstLine="361"/>
        <w:spacing w:after="0" w:line="243" w:lineRule="auto"/>
        <w:rPr>
          <w:sz w:val="20"/>
          <w:szCs w:val="20"/>
          <w:color w:val="auto"/>
        </w:rPr>
      </w:pPr>
      <w:r>
        <w:rPr>
          <w:rFonts w:ascii="Times New Roman" w:cs="Times New Roman" w:eastAsia="Times New Roman" w:hAnsi="Times New Roman"/>
          <w:sz w:val="20"/>
          <w:szCs w:val="20"/>
          <w:color w:val="auto"/>
        </w:rPr>
        <w:t>On December 15, 2025, we entered into the Exchange Agreement with Daewoong consistent with the terms of the Term Sheet pursuant to which the Existing Notes held by Daewoong would be exchanged for (i) newly issued shares of common stock of the Company equal to (x) the principal and accrued interest of the Existing Notes as of the closing of the Exchange less (y) the principal amount of the New Convertible Note, divided by $1.00, and then multiplied by 1.3 (and rounded down to the nearest whole share of common stock) and/or pre-funded warrants to purchase shares of common stock (the “Daewoong Pre-Funded Warrants”) in lieu of any shares of common stock that would result in Daewoong’s beneficial ownership of common stock exceeding 49.99% (the “Exchange Shares”), (ii) a new senior secured convertible note for $1.5 million (the “New Convertible Note”), and (iii) warrants to purchase up to 8 million shares of common stock at an exercise price of $1.09392 per share (the “Daewoong Warrant”). The Daewoong Warrants, which contain the same terms as the PIPE Warrants, are exercisable at an exercise price of $ 1.09392 per share and may only be exercised for cash. The Daewoong Warrants are immediately exercisable after issuance and may be able to be exercised at any time until the five-year anniversary of the Second Closing.</w:t>
      </w:r>
    </w:p>
    <w:p>
      <w:pPr>
        <w:spacing w:after="0" w:line="209"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In connection with the Exchange, on January 21, 2026, the Company entered into a Fifth Amendment to the License Agreement Amendment with Daewoong, which amends the License and Supply Agreement, by and between the Company and Daewoong, dated December 20, 2019, as amended on July 29, 2022, January 8, 2023, April 24, 2023 and March 19, 2024. Pursuant to the terms of the License Agreement Amendment, the definition of “Notes” reflects the Exchange and the Termination Purchase Right (as defined in the License Agreement Amendment) will terminate and expire upon Daewoong’s sale of 50% of its common stock, including common stock held by its affiliates and common stock that would be issued upon conversion of the New Convertible Note. The License Agreement, as amended from time to time, also provides that the License Agreement will terminate if, over any six-month period, (a) we cease to commercialize ABP-450 in certain territories specified in the License Agreement and (b) we cease to advance any clinical studies of ABP-450 in such territories. Additionally, the License Agreement also provides that, in the event that the License Agreement is terminated for the foregoing reasons, Daewoong will have the right to purchase all Know-How (as defined in the License Agreement) related to ABP-450 for a price of $1.00 (the “Termination Purchase Right”).</w:t>
      </w:r>
    </w:p>
    <w:p>
      <w:pPr>
        <w:spacing w:after="0" w:line="209"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19"/>
          <w:szCs w:val="19"/>
          <w:color w:val="auto"/>
        </w:rPr>
        <w:t>We are a biopharmaceutical company seeking accelerated and full-label U.S. market entry by developing our ABP-450 as a biosimilar through submission of a BLA under Section 351(k), using AbbVie Inc.’s product Botox® as a proposed reference product for all of the indications for which Botox® is approved, other than the cosmetic uses for which we do not hold development or commercialization rights. We held an initial meeting with the FDA in the third quarter of 2024 during which we obtained feedback from the FDA on next steps to develop a Botox® biosimilar. We commenced analytical studies in the fourth quarter of 2024 to prepare for a BPD Type 2a meeting with the FDA that was held on January 21, 2026. During the meeting, the FDA reviewed the Company’s proposed analytical similarity strategy under the 351(k) biosimilar pathway. The FDA acknowledged the scientific challenges associated with characterizing a 900 kDa botulinum neurotoxin complex, provided constructive feedback on our proposed development approach and analytical assessment plan, and noted that our analytical methodologies appeared reasonable to support</w:t>
      </w:r>
    </w:p>
    <w:p>
      <w:pPr>
        <w:sectPr>
          <w:pgSz w:w="11880" w:h="15480" w:orient="portrait"/>
          <w:cols w:equalWidth="0" w:num="1">
            <w:col w:w="10680"/>
          </w:cols>
          <w:pgMar w:left="540" w:top="1349" w:right="66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680"/>
          </w:cols>
          <w:pgMar w:left="540" w:top="1349" w:right="660" w:bottom="0" w:gutter="0" w:footer="0" w:header="0"/>
          <w:type w:val="continuous"/>
        </w:sectPr>
      </w:pPr>
    </w:p>
    <w:bookmarkStart w:id="83" w:name="page84"/>
    <w:bookmarkEnd w:id="83"/>
    <w:p>
      <w:pPr>
        <w:ind w:right="240"/>
        <w:spacing w:after="0" w:line="245" w:lineRule="auto"/>
        <w:rPr>
          <w:sz w:val="20"/>
          <w:szCs w:val="20"/>
          <w:color w:val="auto"/>
        </w:rPr>
      </w:pPr>
      <w:r>
        <w:rPr>
          <w:rFonts w:ascii="Times New Roman" w:cs="Times New Roman" w:eastAsia="Times New Roman" w:hAnsi="Times New Roman"/>
          <w:sz w:val="20"/>
          <w:szCs w:val="20"/>
          <w:color w:val="auto"/>
        </w:rPr>
        <w:t>advancement of the program toward a comprehensive analytical similarity package. We believe this feedback provides a clear framework for the remaining analytical components of its biosimilar development program and plans to complete the majority of its analytical comparability program in 2026. We are currently planning to request a BPD Type 2b meeting in 2026 to discuss the next phase of the development program to support approval of ABP- 450 as a biosimilar to Botox® across all approved therapeutic indications. However, the commencement of additional studies, preparation for the potential BPD meeting and any further development of ABP-450 would require additional funding in the form of equity financings or debt. There can be no assurance that such efforts will be successful or that, in the event that they are successful, the terms and conditions of such financing will be commercially acceptable. Furthermore, the use of equity as a source of financing would dilute existing shareholders.</w:t>
      </w:r>
    </w:p>
    <w:p>
      <w:pPr>
        <w:spacing w:after="0" w:line="203" w:lineRule="exact"/>
        <w:rPr>
          <w:sz w:val="20"/>
          <w:szCs w:val="20"/>
          <w:color w:val="auto"/>
        </w:rPr>
      </w:pPr>
    </w:p>
    <w:p>
      <w:pPr>
        <w:ind w:right="180" w:firstLine="360"/>
        <w:spacing w:after="0" w:line="258" w:lineRule="auto"/>
        <w:rPr>
          <w:sz w:val="20"/>
          <w:szCs w:val="20"/>
          <w:color w:val="auto"/>
        </w:rPr>
      </w:pPr>
      <w:r>
        <w:rPr>
          <w:rFonts w:ascii="Times New Roman" w:cs="Times New Roman" w:eastAsia="Times New Roman" w:hAnsi="Times New Roman"/>
          <w:sz w:val="20"/>
          <w:szCs w:val="20"/>
          <w:color w:val="auto"/>
        </w:rPr>
        <w:t>As of the date of this Report, we expect to have sufficient cash to fund our operating plan into the third quarter of 2026. We will actively attempt to secure additional capital to fund our operations. However, we cannot assure you that we will be able to raise additional capital on commercially reasonable terms or at all.</w:t>
      </w:r>
    </w:p>
    <w:p>
      <w:pPr>
        <w:spacing w:after="0" w:line="187"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We have incurred operating losses and negative cash flows from operating activities since inception and expect to continue to incur significant operating losses for the foreseeable future and may never become profitable. Our primary use of cash is to fund operating expenses, which consist of R&amp;D expenditures, including development and execution of our analytical plan, possible clinical trials, as well as SG&amp;A expenditures. Cash used to fund operating expenses is impacted by the timing of when we pay or prepay these expenses. We expect to continue to incur substantial costs in order to conduct R&amp;D activities necessary to develop and commercialize our product candidates. Until such time, if ever, as we can generate substantial product revenue from sales of ABP-450, we will need additional capital to undertake these activities and commercialization efforts, and, therefore, we intend to raise such capital through the issuance of additional equity, borrowings, and potentially strategic alliances with other companies. However, if such financing is not available at adequate levels or on acceptable terms, we could be required to reduce the scope of or eliminate some of our development programs or commercialization efforts, out-license intellectual property rights to our product candidates or sell unsecured assets, or a combination of the above, any of which may have a material adverse effect on our business, results of operations, financial condition and/or our ability to fund our scheduled obligations on a timely basis or at all. Our ability to continue as a going concern is dependent upon our ability to successfully accomplish these plans and secure sources of financing and ultimately attain profitable operations.</w:t>
      </w:r>
    </w:p>
    <w:p>
      <w:pPr>
        <w:spacing w:after="0" w:line="202" w:lineRule="exact"/>
        <w:rPr>
          <w:sz w:val="20"/>
          <w:szCs w:val="20"/>
          <w:color w:val="auto"/>
        </w:rPr>
      </w:pPr>
    </w:p>
    <w:p>
      <w:pPr>
        <w:ind w:right="20" w:firstLine="361"/>
        <w:spacing w:after="0" w:line="243" w:lineRule="auto"/>
        <w:rPr>
          <w:sz w:val="20"/>
          <w:szCs w:val="20"/>
          <w:color w:val="auto"/>
        </w:rPr>
      </w:pPr>
      <w:r>
        <w:rPr>
          <w:rFonts w:ascii="Times New Roman" w:cs="Times New Roman" w:eastAsia="Times New Roman" w:hAnsi="Times New Roman"/>
          <w:sz w:val="20"/>
          <w:szCs w:val="20"/>
          <w:color w:val="auto"/>
        </w:rPr>
        <w:t>We may also seek to raise additional capital through the sale of public or private equity or convertible debt securities. If we incur additional debt, the debt holders would have rights senior to holders of common stock to make claims on our assets, and the terms of any debt could restrict our operations, including our ability to pay dividends to holders of our common stock. If we undertake discretionary financing by issuing equity securities or convertible debt securities, our stockholders may experience substantial dilution. We may sell common stock, convertible securities or other equity securities in one or more transactions at a price per share that is less than the price per share paid by current public stockholders. If we sell common stock, convertible securities, or other equity securities in more than one transaction, stockholders may be further diluted by subsequent sales. Additionally, future equity financings may result in new investors receiving rights superior to our existing stockholders.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9" w:lineRule="exact"/>
        <w:rPr>
          <w:sz w:val="20"/>
          <w:szCs w:val="20"/>
          <w:color w:val="auto"/>
        </w:rPr>
      </w:pPr>
    </w:p>
    <w:p>
      <w:pPr>
        <w:ind w:right="40" w:firstLine="360"/>
        <w:spacing w:after="0" w:line="243" w:lineRule="auto"/>
        <w:rPr>
          <w:sz w:val="20"/>
          <w:szCs w:val="20"/>
          <w:color w:val="auto"/>
        </w:rPr>
      </w:pPr>
      <w:r>
        <w:rPr>
          <w:rFonts w:ascii="Times New Roman" w:cs="Times New Roman" w:eastAsia="Times New Roman" w:hAnsi="Times New Roman"/>
          <w:sz w:val="20"/>
          <w:szCs w:val="20"/>
          <w:color w:val="auto"/>
        </w:rPr>
        <w:t>We may receive additional capital from the cash exercise of the Private Placement Warrants related to the Closing, Series A and Series B warrants, Odeon warrants, PIPE Warrants and Daewoong Warrants. However, the exercise price of such warrants range from $1.09 to $ 828.00 per warrant and the last reported sales price of our common stock on March 17, 2026 was $1.16. The likelihood that holders of the Private Placement Warrants related to the Closing, Series A and Series B warrants, Odeon warrants, PIPE Warrants and Daewoong Warrants will exercise their respective warrants, and therefore the likelihood of any amount of cash proceeds that we may receive, is dependent upon the trading price of our common stock after effectiveness of the registration statement related thereto registering the issuance of common stock underlying such warrants. If the trading price for our common stock does not maintain a price above the exercise price per share, we do not expect holders to exercise their respective warrants for cash. We will have broad discretion over the use of any proceeds from the exercise of such securities. Any proceeds from the exercise of such securities would increase our liquidity, but we are not currently budgeting for any cash proceeds from the exercise of such warrants when planning for our operational funding needs. Additionally, the Private Placement Warrants and Series B Warrants may be exercised on a cashless basis at any time and we will not receive any proceeds from such exercise, even if such warrants are in-the-money.</w:t>
      </w:r>
    </w:p>
    <w:p>
      <w:pPr>
        <w:spacing w:after="0" w:line="205" w:lineRule="exact"/>
        <w:rPr>
          <w:sz w:val="20"/>
          <w:szCs w:val="20"/>
          <w:color w:val="auto"/>
        </w:rPr>
      </w:pPr>
    </w:p>
    <w:p>
      <w:pPr>
        <w:ind w:right="160" w:firstLine="360"/>
        <w:spacing w:after="0" w:line="304" w:lineRule="auto"/>
        <w:rPr>
          <w:sz w:val="20"/>
          <w:szCs w:val="20"/>
          <w:color w:val="auto"/>
        </w:rPr>
      </w:pPr>
      <w:r>
        <w:rPr>
          <w:rFonts w:ascii="Times New Roman" w:cs="Times New Roman" w:eastAsia="Times New Roman" w:hAnsi="Times New Roman"/>
          <w:sz w:val="19"/>
          <w:szCs w:val="19"/>
          <w:color w:val="auto"/>
        </w:rPr>
        <w:t>To the extent that we raise additional capital through marketing and distribution arrangements or other collaborations, royalty agreements, strategic alliances, or licensing arrangements with third parties, we may have to relinquish valuable rights to our product</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800"/>
          </w:cols>
          <w:pgMar w:left="540" w:top="1349" w:right="540" w:bottom="0" w:gutter="0" w:footer="0" w:header="0"/>
          <w:type w:val="continuous"/>
        </w:sectPr>
      </w:pPr>
    </w:p>
    <w:bookmarkStart w:id="84" w:name="page85"/>
    <w:bookmarkEnd w:id="84"/>
    <w:p>
      <w:pPr>
        <w:ind w:right="40"/>
        <w:spacing w:after="0" w:line="246" w:lineRule="auto"/>
        <w:rPr>
          <w:sz w:val="20"/>
          <w:szCs w:val="20"/>
          <w:color w:val="auto"/>
        </w:rPr>
      </w:pPr>
      <w:r>
        <w:rPr>
          <w:rFonts w:ascii="Times New Roman" w:cs="Times New Roman" w:eastAsia="Times New Roman" w:hAnsi="Times New Roman"/>
          <w:sz w:val="20"/>
          <w:szCs w:val="20"/>
          <w:color w:val="auto"/>
        </w:rPr>
        <w:t>candidates, future revenue streams, research programs or product licenses on terms that may not be favorable to us. If these sources are insufficient to satisfy our liquidity requirements, we will seek to raise additional funds through future equity or debt financings. If we raise additional funds by issuing equity securities, our stockholders would experience dilution. Additional debt financing, if available, may involve covenants restricting our operations or our ability to incur additional debt. There can be no assurance that our efforts to procure additional financing will be successful or that, if they are successful, the terms and conditions of such financing will be favorable to us or our stockholders. If we are unable to raise additional financing when needed, we may be required to delay, reduce, or terminate the development, commercialization and marketing of our products and scale back our business and operations.</w:t>
      </w:r>
    </w:p>
    <w:p>
      <w:pPr>
        <w:spacing w:after="0" w:line="201" w:lineRule="exact"/>
        <w:rPr>
          <w:sz w:val="20"/>
          <w:szCs w:val="20"/>
          <w:color w:val="auto"/>
        </w:rPr>
      </w:pPr>
    </w:p>
    <w:p>
      <w:pPr>
        <w:ind w:right="60" w:firstLine="361"/>
        <w:spacing w:after="0" w:line="244" w:lineRule="auto"/>
        <w:rPr>
          <w:sz w:val="20"/>
          <w:szCs w:val="20"/>
          <w:color w:val="auto"/>
        </w:rPr>
      </w:pPr>
      <w:r>
        <w:rPr>
          <w:rFonts w:ascii="Times New Roman" w:cs="Times New Roman" w:eastAsia="Times New Roman" w:hAnsi="Times New Roman"/>
          <w:sz w:val="20"/>
          <w:szCs w:val="20"/>
          <w:color w:val="auto"/>
        </w:rPr>
        <w:t>As a result of these conditions, management has concluded that substantial doubt about our ability to continue as a going concern exists as conditions and events, considered in the aggregate, indicate that it is probable that we will be unable to meet our obligations as they become due within one year after the date that the financial statements included in this Report are issued. Our financial information throughout this Report and our financial statements included elsewhere in this Report have been prepared on a basis that assumes that we will continue as a going concern, which contemplates the realization of assets and the satisfaction of liabilities and commitments in the normal course of business. This financial information and our consolidated financial statements do not include any adjustments that may result from an unfavorable outcome of this uncertainty. Our ability to continue as a going concern is dependent upon our ability to successfully accomplish our business plans and secure sources of financing and ultimately attain profitable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Cash Used in Operating Activities</w:t>
      </w:r>
    </w:p>
    <w:p>
      <w:pPr>
        <w:spacing w:after="0" w:line="243"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Net cash used in operating activities for the year ended December 31, 2025 was $17.3 million, consisting primarily of net loss of $39.2 million and non-cash charges of $28.9 million, consisting primarily of $75.6 million related to loss on issuance of warrants in the first quarter of 2025, $22.9 million related to the change in fair value of the convertible notes, $13.1 million related to loss on derivatives from the fourth quarter of 2025, $5.3 million non-cash expense related to stock-based compensation for our executives and directors, offset by $(84.9) million related to change in fair value of warrants, $(3.5) million related to change in fair value of contingent consideration; and a decrease in accounts payable of $5.0 million due to timing of payments and a decrease in accrued expenses and other liabilities of $2.2 million primarily due to settlement of the Odeon matter.</w:t>
      </w:r>
    </w:p>
    <w:p>
      <w:pPr>
        <w:spacing w:after="0" w:line="201"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Net cash used in operating activities for the year ended December 31, 2024 was $20.3 million, consisting primarily of a net income of $42.0 million and non-cash charges of $(63.0) million, consisting primarily of $(100.8) million related to change in fair value of contingent consideration and $(3.3) million related to the change in fair value of the convertible notes, offset by $19.7 million related to loss on forward purchase agreement and derivative liabilities, $14.7 million related to change in fair value of warrants and $6.3 million non-cash expense related to stock-based compensation for our executives and directors; and an increase in accounts payable of $2.5 million and a decrease in accrued expenses and other liabilities of $1.4 million due to timing of payments.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p>
      <w:pPr>
        <w:spacing w:after="0" w:line="243" w:lineRule="exact"/>
        <w:rPr>
          <w:sz w:val="20"/>
          <w:szCs w:val="20"/>
          <w:color w:val="auto"/>
        </w:rPr>
      </w:pPr>
    </w:p>
    <w:p>
      <w:pPr>
        <w:ind w:right="540" w:firstLine="360"/>
        <w:spacing w:after="0" w:line="278" w:lineRule="auto"/>
        <w:rPr>
          <w:sz w:val="20"/>
          <w:szCs w:val="20"/>
          <w:color w:val="auto"/>
        </w:rPr>
      </w:pPr>
      <w:r>
        <w:rPr>
          <w:rFonts w:ascii="Times New Roman" w:cs="Times New Roman" w:eastAsia="Times New Roman" w:hAnsi="Times New Roman"/>
          <w:sz w:val="20"/>
          <w:szCs w:val="20"/>
          <w:color w:val="auto"/>
        </w:rPr>
        <w:t>Net cash used in investing activities for the years ended December 31, 2025 and 2024 were a de minimus amount and zero, respectively, related to the purchase of property and equipment.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p>
      <w:pPr>
        <w:spacing w:after="0" w:line="242" w:lineRule="exact"/>
        <w:rPr>
          <w:sz w:val="20"/>
          <w:szCs w:val="20"/>
          <w:color w:val="auto"/>
        </w:rPr>
      </w:pPr>
    </w:p>
    <w:p>
      <w:pPr>
        <w:ind w:right="40" w:firstLine="359"/>
        <w:spacing w:after="0" w:line="278" w:lineRule="auto"/>
        <w:rPr>
          <w:sz w:val="20"/>
          <w:szCs w:val="20"/>
          <w:color w:val="auto"/>
        </w:rPr>
      </w:pPr>
      <w:r>
        <w:rPr>
          <w:rFonts w:ascii="Times New Roman" w:cs="Times New Roman" w:eastAsia="Times New Roman" w:hAnsi="Times New Roman"/>
          <w:sz w:val="20"/>
          <w:szCs w:val="20"/>
          <w:color w:val="auto"/>
        </w:rPr>
        <w:t>Net cash provided by financing activities for the year ended December 31, 2025 was $20.3 million, primarily related the Offering in first quarter of 2025 and First Closing related to the PIPE Financing in the fourth quarter of 2025.</w:t>
      </w:r>
    </w:p>
    <w:p>
      <w:pPr>
        <w:spacing w:after="0" w:line="167" w:lineRule="exact"/>
        <w:rPr>
          <w:sz w:val="20"/>
          <w:szCs w:val="20"/>
          <w:color w:val="auto"/>
        </w:rPr>
      </w:pPr>
    </w:p>
    <w:p>
      <w:pPr>
        <w:ind w:right="580" w:firstLine="360"/>
        <w:spacing w:after="0" w:line="278" w:lineRule="auto"/>
        <w:rPr>
          <w:sz w:val="20"/>
          <w:szCs w:val="20"/>
          <w:color w:val="auto"/>
        </w:rPr>
      </w:pPr>
      <w:r>
        <w:rPr>
          <w:rFonts w:ascii="Times New Roman" w:cs="Times New Roman" w:eastAsia="Times New Roman" w:hAnsi="Times New Roman"/>
          <w:sz w:val="20"/>
          <w:szCs w:val="20"/>
          <w:color w:val="auto"/>
        </w:rPr>
        <w:t>Net cash provided by financing activities for the year ended December 31, 2024 was $15.1 million, primarily related to the issuance of convertible notes.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3" w:lineRule="exact"/>
        <w:rPr>
          <w:sz w:val="20"/>
          <w:szCs w:val="20"/>
          <w:color w:val="auto"/>
        </w:rPr>
      </w:pPr>
    </w:p>
    <w:p>
      <w:pPr>
        <w:ind w:right="120" w:firstLine="361"/>
        <w:spacing w:after="0" w:line="249" w:lineRule="auto"/>
        <w:rPr>
          <w:sz w:val="20"/>
          <w:szCs w:val="20"/>
          <w:color w:val="auto"/>
        </w:rPr>
      </w:pPr>
      <w:r>
        <w:rPr>
          <w:rFonts w:ascii="Times New Roman" w:cs="Times New Roman" w:eastAsia="Times New Roman" w:hAnsi="Times New Roman"/>
          <w:sz w:val="20"/>
          <w:szCs w:val="20"/>
          <w:color w:val="auto"/>
        </w:rPr>
        <w:t>Management’s discussion and analysis of our financial condition and results of operations are based on our financial statements, which have been prepared in accordance with United States generally accepted accounting principles (“GAAP”). The preparation of these financial statements requires us to make estimates and assumptions that affect the reported amounts of assets and liabilities and related disclosure of contingent assets and liabilities, revenue and expenses at the date of the financial statements as well as the expenses incurred during the reporting period. Generally, we base our estimates on historical experience and on various other</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760"/>
          </w:cols>
          <w:pgMar w:left="540" w:top="1349" w:right="580" w:bottom="0" w:gutter="0" w:footer="0" w:header="0"/>
          <w:type w:val="continuous"/>
        </w:sectPr>
      </w:pPr>
    </w:p>
    <w:bookmarkStart w:id="85" w:name="page86"/>
    <w:bookmarkEnd w:id="85"/>
    <w:p>
      <w:pPr>
        <w:spacing w:after="0" w:line="253" w:lineRule="auto"/>
        <w:rPr>
          <w:sz w:val="20"/>
          <w:szCs w:val="20"/>
          <w:color w:val="auto"/>
        </w:rPr>
      </w:pPr>
      <w:r>
        <w:rPr>
          <w:rFonts w:ascii="Times New Roman" w:cs="Times New Roman" w:eastAsia="Times New Roman" w:hAnsi="Times New Roman"/>
          <w:sz w:val="20"/>
          <w:szCs w:val="20"/>
          <w:color w:val="auto"/>
        </w:rPr>
        <w:t>assumptions in accordance with United States GAAP that we believe to be reasonable under the circumstances. Actual results may differ materially from these estimates under different assumptions or conditions and such differences could be material to the financial position and results of operations. On an ongoing basis, we evaluate our judgments and estimates in light of changes in circumstances, facts and experience.</w:t>
      </w:r>
    </w:p>
    <w:p>
      <w:pPr>
        <w:spacing w:after="0" w:line="191" w:lineRule="exact"/>
        <w:rPr>
          <w:sz w:val="20"/>
          <w:szCs w:val="20"/>
          <w:color w:val="auto"/>
        </w:rPr>
      </w:pPr>
    </w:p>
    <w:p>
      <w:pPr>
        <w:ind w:right="80" w:firstLine="360"/>
        <w:spacing w:after="0" w:line="252" w:lineRule="auto"/>
        <w:rPr>
          <w:sz w:val="20"/>
          <w:szCs w:val="20"/>
          <w:color w:val="auto"/>
        </w:rPr>
      </w:pPr>
      <w:r>
        <w:rPr>
          <w:rFonts w:ascii="Times New Roman" w:cs="Times New Roman" w:eastAsia="Times New Roman" w:hAnsi="Times New Roman"/>
          <w:sz w:val="20"/>
          <w:szCs w:val="20"/>
          <w:color w:val="auto"/>
        </w:rPr>
        <w:t>While our significant accounting policies are more fully described in the notes to our financial statements appearing elsewhere in this Report, we believe the following accounting policies to be most critical for fully understanding and evaluating our financial condition and results of operations, as these policies relate to the more significant areas involving management’s judgments and estimates.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Liability</w:t>
      </w:r>
    </w:p>
    <w:p>
      <w:pPr>
        <w:spacing w:after="0" w:line="239"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its derivative liabilities as either equity-classified or liability-classified instruments based on an assessment of the specific terms and applicable authoritative guidance in ASC 480, </w:t>
      </w:r>
      <w:r>
        <w:rPr>
          <w:rFonts w:ascii="Times New Roman" w:cs="Times New Roman" w:eastAsia="Times New Roman" w:hAnsi="Times New Roman"/>
          <w:sz w:val="20"/>
          <w:szCs w:val="20"/>
          <w:i w:val="1"/>
          <w:iCs w:val="1"/>
          <w:color w:val="auto"/>
        </w:rPr>
        <w:t>Distinguishing Liabilities from Equity</w:t>
      </w:r>
      <w:r>
        <w:rPr>
          <w:rFonts w:ascii="Times New Roman" w:cs="Times New Roman" w:eastAsia="Times New Roman" w:hAnsi="Times New Roman"/>
          <w:sz w:val="20"/>
          <w:szCs w:val="20"/>
          <w:color w:val="auto"/>
        </w:rPr>
        <w:t xml:space="preserve"> (“ASC 480”) and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xml:space="preserve"> (“ASC 815”). Based on the appropriate guidance, the Company identified that the First Closing of the PIPE contained pre-funded warrants, a tranche right obligation and a true up warrant obligation, and the Second Closing contained pre-funded warrants, PIPE Warrants and True-Up Warrants.</w:t>
      </w:r>
    </w:p>
    <w:p>
      <w:pPr>
        <w:spacing w:after="0" w:line="197" w:lineRule="exact"/>
        <w:rPr>
          <w:sz w:val="20"/>
          <w:szCs w:val="20"/>
          <w:color w:val="auto"/>
        </w:rPr>
      </w:pPr>
    </w:p>
    <w:p>
      <w:pPr>
        <w:jc w:val="both"/>
        <w:ind w:right="40" w:firstLine="360"/>
        <w:spacing w:after="0" w:line="253" w:lineRule="auto"/>
        <w:rPr>
          <w:sz w:val="20"/>
          <w:szCs w:val="20"/>
          <w:color w:val="auto"/>
        </w:rPr>
      </w:pPr>
      <w:r>
        <w:rPr>
          <w:rFonts w:ascii="Times New Roman" w:cs="Times New Roman" w:eastAsia="Times New Roman" w:hAnsi="Times New Roman"/>
          <w:sz w:val="20"/>
          <w:szCs w:val="20"/>
          <w:color w:val="auto"/>
        </w:rPr>
        <w:t>The pre-funded warrants and true-up warrants were determined to be equity classified under ASC 815 upon their issuance. The PIPE Warrants and the tranche right obligation (which encompasses the obligation to issue pre-funded warrants, PIPE Warrants, and the True-Up Warrants as of the Second Closing) were determined to not be indexed to the Company’s own stock under ASC 815, and as such were classified as liabilities.</w:t>
      </w:r>
    </w:p>
    <w:p>
      <w:pPr>
        <w:spacing w:after="0" w:line="191"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Accordingly, for the First Closing, the Company allocated the fair value of the PIPE to the tranche right obligation. As the fair value of the tranche right obligation is greater than the proceeds received, the Company recognized a loss on derivative liability issued of $10.6 million. For the Second Closing, the Company first allocated fair value to the PIPE Warrants, and any residual value was allocated between the pre-funded warrants and the true-up warrants based on relative fair value.</w:t>
      </w:r>
    </w:p>
    <w:p>
      <w:pPr>
        <w:spacing w:after="0" w:line="195" w:lineRule="exact"/>
        <w:rPr>
          <w:sz w:val="20"/>
          <w:szCs w:val="20"/>
          <w:color w:val="auto"/>
        </w:rPr>
      </w:pPr>
    </w:p>
    <w:p>
      <w:pPr>
        <w:ind w:right="20" w:firstLine="360"/>
        <w:spacing w:after="0" w:line="247" w:lineRule="auto"/>
        <w:rPr>
          <w:sz w:val="20"/>
          <w:szCs w:val="20"/>
          <w:color w:val="auto"/>
        </w:rPr>
      </w:pPr>
      <w:r>
        <w:rPr>
          <w:rFonts w:ascii="Times New Roman" w:cs="Times New Roman" w:eastAsia="Times New Roman" w:hAnsi="Times New Roman"/>
          <w:sz w:val="20"/>
          <w:szCs w:val="20"/>
          <w:color w:val="auto"/>
        </w:rPr>
        <w:t>The PIPE Warrants were initially measured at fair value using a Black-Scholes calculation and recorded as a liability on the issuance date on the consolidated balance sheets, and remeasured at each reporting period with changes to fair value recorded to the consolidated statements of operations and comprehensive (loss) income. The valuation is subject to inputs and assumptions that have variability, including stock price, risk -free rate and volatility. As stock price, risk -free rate and/or volatility increases or decreases, this may result in an increase or decrease, respectively, in the liability. The Company recognized the pre-funded warrants and true-up warrants based on their relative fair values in additional paid-in capital on the issuance date, net of issuance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w:t>
      </w:r>
    </w:p>
    <w:p>
      <w:pPr>
        <w:spacing w:after="0" w:line="239" w:lineRule="exact"/>
        <w:rPr>
          <w:sz w:val="20"/>
          <w:szCs w:val="20"/>
          <w:color w:val="auto"/>
        </w:rPr>
      </w:pPr>
    </w:p>
    <w:p>
      <w:pPr>
        <w:ind w:firstLine="360"/>
        <w:spacing w:after="0" w:line="242" w:lineRule="auto"/>
        <w:rPr>
          <w:sz w:val="20"/>
          <w:szCs w:val="20"/>
          <w:color w:val="auto"/>
        </w:rPr>
      </w:pPr>
      <w:r>
        <w:rPr>
          <w:rFonts w:ascii="Times New Roman" w:cs="Times New Roman" w:eastAsia="Times New Roman" w:hAnsi="Times New Roman"/>
          <w:sz w:val="20"/>
          <w:szCs w:val="20"/>
          <w:color w:val="auto"/>
        </w:rPr>
        <w:t>The Company accounts for warrants as either equity-classified or liability- classified instruments based on an assessment of the warrant’s specific terms and applicable authoritative guidance in 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common stock, among other conditions for equity classification. This assessment, which requires the use of professional judgment,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remeasured at each balance sheet date thereafter until settlement. Changes in the estimated fair value of the warrants are recognized as a non-cash gain or loss on the consolidated statements of operations and comprehensive (loss) income. Prior to the public warrant redemptions, the Company utilized the publicly reported market price of the public warrants to value the warrant liabilities. After the redemption, the Company uses the Black-Scholes model to value all warrant liabilities. The valuation is subject to inputs and assumptions that have variability, including stock price, risk free rate and volatility. As the stock price, risk free rate and/or volatility increases or decreases, this may result in an increase or decrease, respectively, in the liabilities.</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760"/>
          </w:cols>
          <w:pgMar w:left="540" w:top="1349" w:right="58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239" w:lineRule="exact"/>
        <w:rPr>
          <w:sz w:val="20"/>
          <w:szCs w:val="20"/>
          <w:color w:val="auto"/>
        </w:rPr>
      </w:pPr>
    </w:p>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The Company accounts for the measurement and recognition of compensation expense for all share-based awards based on the estimated fair value of the awards at grant date. The Company measures the fair value of awards granted using the Black-Scholes option pricing model, which requires the input of subjective assumptions, including the Company’s share price, expected volatility of the Company’s common stock, expected risk-free interest rate, and the option’s expected life. The Company also evaluates the impact of modifications made to the original terms of equity awards when they occur. The fair value of equity awards that are expected to vest is amortized on a straight-line basis over the requisite service period. Stock- based compensation expense is recognized net of actual forfeitures when they occur, as an increase to additional paid-in capital in the consolidated balance sheets and in selling, general and administrative or research and development expenses in the consolidated statements of operations and comprehensive (loss) income. All stock-based compensation costs are recorded in the consolidated statements of operations and comprehensive (loss) income based upon the underlying employee’s role within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Notes</w:t>
      </w:r>
    </w:p>
    <w:p>
      <w:pPr>
        <w:spacing w:after="0" w:line="239"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We elected to account for our convertible notes, which meets the required criteria, at fair value at inception. We recorded the initial fair value of the convertible notes as a liability on the consolidated balance sheets. Subsequent changes in fair value are recorded as a component of other (loss) income in the consolidated statements of operations and comprehensive (loss) income or as a component of other comprehensive (loss) income for changes related to instrument- specific credit risk. As a result of electing the fair value option, direct costs and fees related to the liabilities are expensed as incurred. The fair value of the convertible notes was determined based on Level 3 inputs using a scenario-based analysis that estimated the fair value of the convertible notes based on the probability-weighted present value of expected future investment returns, considering each of the possible outcomes available to the noteholders, including various qualified financings, corporate transaction and dissolution scenarios. The significant unobservable input assumptions that can significantly change the fair value included (i) the discount rates, (ii) the timing of payments, and (iii) the probability of certain settlement scenarios.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JOBS Act; Smaller Reporting Company</w:t>
      </w:r>
    </w:p>
    <w:p>
      <w:pPr>
        <w:spacing w:after="0" w:line="243" w:lineRule="exact"/>
        <w:rPr>
          <w:sz w:val="20"/>
          <w:szCs w:val="20"/>
          <w:color w:val="auto"/>
        </w:rPr>
      </w:pPr>
    </w:p>
    <w:p>
      <w:pPr>
        <w:ind w:right="20" w:firstLine="361"/>
        <w:spacing w:after="0" w:line="243" w:lineRule="auto"/>
        <w:rPr>
          <w:sz w:val="20"/>
          <w:szCs w:val="20"/>
          <w:color w:val="auto"/>
        </w:rPr>
      </w:pPr>
      <w:r>
        <w:rPr>
          <w:rFonts w:ascii="Times New Roman" w:cs="Times New Roman" w:eastAsia="Times New Roman" w:hAnsi="Times New Roman"/>
          <w:sz w:val="20"/>
          <w:szCs w:val="20"/>
          <w:color w:val="auto"/>
        </w:rPr>
        <w:t>We are an emerging growth company, as defined in the Securities Act, as modified by the JOBS Act.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In particular, in this Report, we have provided only two years of audited financial statements and unaudited financial statements and have not included all of the executive compensation- related information that would be required if we were not an emerging growth company. Section 102(b)(2) of the JOBS Act allows us to delay adoption of the new or revised accounting standards until those standards apply to non-public business entities. Accordingly, the information contained herein may be different than the information you receive from other public companies in which you hold stock.</w:t>
      </w:r>
    </w:p>
    <w:p>
      <w:pPr>
        <w:spacing w:after="0" w:line="207" w:lineRule="exact"/>
        <w:rPr>
          <w:sz w:val="20"/>
          <w:szCs w:val="20"/>
          <w:color w:val="auto"/>
        </w:rPr>
      </w:pPr>
    </w:p>
    <w:p>
      <w:pPr>
        <w:ind w:right="20" w:firstLine="358"/>
        <w:spacing w:after="0" w:line="247" w:lineRule="auto"/>
        <w:rPr>
          <w:sz w:val="20"/>
          <w:szCs w:val="20"/>
          <w:color w:val="auto"/>
        </w:rPr>
      </w:pPr>
      <w:r>
        <w:rPr>
          <w:rFonts w:ascii="Times New Roman" w:cs="Times New Roman" w:eastAsia="Times New Roman" w:hAnsi="Times New Roman"/>
          <w:sz w:val="20"/>
          <w:szCs w:val="20"/>
          <w:color w:val="auto"/>
        </w:rPr>
        <w:t>We will remain an emerging growth company until the earliest of (i) the last day of the fiscal year following the fifth anniversary of Priveterra’s initial public offering (December 31, 2026), (ii) the last day of the fiscal year in which we have total annual gross revenue of at least $ 1.235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200" w:lineRule="exact"/>
        <w:rPr>
          <w:sz w:val="20"/>
          <w:szCs w:val="20"/>
          <w:color w:val="auto"/>
        </w:rPr>
      </w:pPr>
    </w:p>
    <w:p>
      <w:pPr>
        <w:ind w:right="60" w:firstLine="360"/>
        <w:spacing w:after="0" w:line="245" w:lineRule="auto"/>
        <w:rPr>
          <w:sz w:val="20"/>
          <w:szCs w:val="20"/>
          <w:color w:val="auto"/>
        </w:rPr>
      </w:pPr>
      <w:r>
        <w:rPr>
          <w:rFonts w:ascii="Times New Roman" w:cs="Times New Roman" w:eastAsia="Times New Roman" w:hAnsi="Times New Roman"/>
          <w:sz w:val="20"/>
          <w:szCs w:val="20"/>
          <w:color w:val="auto"/>
        </w:rPr>
        <w:t>We are also a “smaller reporting company,” as such term is defined in Rule 12b-2 of the Exchange Act, meaning that the market value of our common stock held by non-affiliates plus the proposed aggregate amount of gross proceeds to us as a result of this offering is less than $700 million and our annual revenue is less than $100 million during the most recently completed fiscal year. We will continue to be a smaller reporting company if either (i) the market value of our common stock held by non-affiliates is less than $250 million or (ii) our annual revenue is less than $100 million during the most recently completed fiscal year and the market value of our common stock held by non-affiliates is less than $700 million. If we are a smaller reporting company at the time we cease to be an emerging growth company, we may continue to rely on exemptions from certain disclosure requirements that are available to smaller reporting companies.</w:t>
      </w:r>
    </w:p>
    <w:p>
      <w:pPr>
        <w:sectPr>
          <w:pgSz w:w="11880" w:h="15480" w:orient="portrait"/>
          <w:cols w:equalWidth="0" w:num="1">
            <w:col w:w="10800"/>
          </w:cols>
          <w:pgMar w:left="540" w:top="1351" w:right="54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800"/>
          </w:cols>
          <w:pgMar w:left="540" w:top="1351" w:right="540" w:bottom="0" w:gutter="0" w:footer="0" w:header="0"/>
          <w:type w:val="continuous"/>
        </w:sectPr>
      </w:pPr>
    </w:p>
    <w:bookmarkStart w:id="87" w:name="page88"/>
    <w:bookmarkEnd w:id="87"/>
    <w:p>
      <w:pPr>
        <w:ind w:firstLine="360"/>
        <w:spacing w:after="0" w:line="253" w:lineRule="auto"/>
        <w:rPr>
          <w:sz w:val="20"/>
          <w:szCs w:val="20"/>
          <w:color w:val="auto"/>
        </w:rPr>
      </w:pPr>
      <w:r>
        <w:rPr>
          <w:rFonts w:ascii="Times New Roman" w:cs="Times New Roman" w:eastAsia="Times New Roman" w:hAnsi="Times New Roman"/>
          <w:sz w:val="20"/>
          <w:szCs w:val="20"/>
          <w:color w:val="auto"/>
        </w:rPr>
        <w:t>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Investors could find our common stock less attractive to the extent we rely on these exemptions. If some investors find our common stock less attractive as a result, there may be a less active trading market for our common stock and the trading price may be more volatile.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and Adopted Accounting Pronouncements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describe the recently issued accounting pronouncements that apply to us in Note 2 of the consolidated financial statements.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3" w:lineRule="exact"/>
        <w:rPr>
          <w:sz w:val="20"/>
          <w:szCs w:val="20"/>
          <w:color w:val="auto"/>
        </w:rPr>
      </w:pPr>
    </w:p>
    <w:p>
      <w:pPr>
        <w:ind w:right="200" w:firstLine="360"/>
        <w:spacing w:after="0" w:line="278" w:lineRule="auto"/>
        <w:rPr>
          <w:sz w:val="20"/>
          <w:szCs w:val="20"/>
          <w:color w:val="auto"/>
        </w:rPr>
      </w:pPr>
      <w:r>
        <w:rPr>
          <w:rFonts w:ascii="Times New Roman" w:cs="Times New Roman" w:eastAsia="Times New Roman" w:hAnsi="Times New Roman"/>
          <w:sz w:val="20"/>
          <w:szCs w:val="20"/>
          <w:color w:val="auto"/>
        </w:rPr>
        <w:t>The Company is a smaller reporting company as defined by Rule 12b-2 of the Exchange Act and is not required to provide the information under this Item.</w:t>
      </w:r>
    </w:p>
    <w:p>
      <w:pPr>
        <w:sectPr>
          <w:pgSz w:w="11880" w:h="15480" w:orient="portrait"/>
          <w:cols w:equalWidth="0" w:num="1">
            <w:col w:w="10680"/>
          </w:cols>
          <w:pgMar w:left="540" w:top="1351"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680"/>
          </w:cols>
          <w:pgMar w:left="540" w:top="1351" w:right="66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54" w:lineRule="exact"/>
        <w:rPr>
          <w:sz w:val="20"/>
          <w:szCs w:val="20"/>
          <w:color w:val="auto"/>
        </w:rPr>
      </w:pPr>
    </w:p>
    <w:p>
      <w:pPr>
        <w:jc w:val="both"/>
        <w:ind w:left="540"/>
        <w:spacing w:after="0" w:line="409" w:lineRule="auto"/>
        <w:rPr>
          <w:sz w:val="20"/>
          <w:szCs w:val="20"/>
          <w:color w:val="auto"/>
        </w:rPr>
      </w:pPr>
      <w:r>
        <w:rPr>
          <w:rFonts w:ascii="Times New Roman" w:cs="Times New Roman" w:eastAsia="Times New Roman" w:hAnsi="Times New Roman"/>
          <w:sz w:val="20"/>
          <w:szCs w:val="20"/>
          <w:color w:val="auto"/>
        </w:rPr>
        <w:t>Report of Independent Registered Public Accounting Firm (PCAOB ID Number 185) . . . . . . . . . . . . . . . . . . . . . . . . . 86 Consolidated Balance Sheets as of December 31, 2025 and 2024 . . . . . . . . . . . . . . . . . . . . . . . . . . . . . . . . . . . . . . . . . . 87 Consolidated Statements of Operations and Comprehensive (Loss) Income for the years ended December 31,</w:t>
      </w:r>
    </w:p>
    <w:p>
      <w:pPr>
        <w:spacing w:after="0" w:line="2" w:lineRule="exact"/>
        <w:rPr>
          <w:sz w:val="20"/>
          <w:szCs w:val="20"/>
          <w:color w:val="auto"/>
        </w:rPr>
      </w:pPr>
    </w:p>
    <w:p>
      <w:pPr>
        <w:jc w:val="both"/>
        <w:ind w:left="540"/>
        <w:spacing w:after="0" w:line="512" w:lineRule="auto"/>
        <w:rPr>
          <w:sz w:val="20"/>
          <w:szCs w:val="20"/>
          <w:color w:val="auto"/>
        </w:rPr>
      </w:pPr>
      <w:r>
        <w:rPr>
          <w:rFonts w:ascii="Times New Roman" w:cs="Times New Roman" w:eastAsia="Times New Roman" w:hAnsi="Times New Roman"/>
          <w:sz w:val="19"/>
          <w:szCs w:val="19"/>
          <w:color w:val="auto"/>
        </w:rPr>
        <w:t>2025 and 2024 . . . . . . . . . . . . . . . . . . . . . . . . . . . . . . . . . . . . . . . . . . . . . . . . . . . . . . . . . . . . . . . . . . . . . . . . . . . . . . . . . . . . 88 Consolidated Statements of Stockholders’ Deficit for the years ended December 31, 2025 and 2024 . . . . . . . . . . . . . . 89 Consolidated Statements of Cash Flows for the years ended December 31, 2025 and 2024 . . . . . . . . . . . . . . . . . . . . . . 90 Notes to Consolidated Financial Statements . . . . . . . . . . . . . . . . . . . . . . . . . . . . . . . . . . . . . . . . . . . . . . . . . . . . . . . . . . . . 91</w:t>
      </w:r>
    </w:p>
    <w:p>
      <w:pPr>
        <w:sectPr>
          <w:pgSz w:w="11880" w:h="15480" w:orient="portrait"/>
          <w:cols w:equalWidth="0" w:num="1">
            <w:col w:w="10260"/>
          </w:cols>
          <w:pgMar w:left="540" w:top="134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260"/>
          </w:cols>
          <w:pgMar w:left="540" w:top="1345" w:right="1080" w:bottom="0" w:gutter="0" w:footer="0" w:header="0"/>
          <w:type w:val="continuous"/>
        </w:sectPr>
      </w:pPr>
    </w:p>
    <w:bookmarkStart w:id="89" w:name="page90"/>
    <w:bookmarkEnd w:id="89"/>
    <w:p>
      <w:pPr>
        <w:ind w:left="29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AEON Biopharma,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the Consolidated Financial Statements</w:t>
      </w:r>
    </w:p>
    <w:p>
      <w:pPr>
        <w:spacing w:after="0" w:line="237" w:lineRule="exact"/>
        <w:rPr>
          <w:sz w:val="20"/>
          <w:szCs w:val="20"/>
          <w:color w:val="auto"/>
        </w:rPr>
      </w:pPr>
    </w:p>
    <w:p>
      <w:pPr>
        <w:ind w:right="200" w:firstLine="360"/>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AEON Biopharma, Inc. and subsidiary (the Company) as of December 31, 2025 and 2024, the related consolidated statements of operations and comprehensive (loss) income, stockholders’ deficit, and cash flows for each of the years in the two-year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U.S. generally accepted accounting principles.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Going Concern</w:t>
      </w:r>
    </w:p>
    <w:p>
      <w:pPr>
        <w:spacing w:after="0" w:line="237" w:lineRule="exact"/>
        <w:rPr>
          <w:sz w:val="20"/>
          <w:szCs w:val="20"/>
          <w:color w:val="auto"/>
        </w:rPr>
      </w:pPr>
    </w:p>
    <w:p>
      <w:pPr>
        <w:ind w:right="240" w:firstLine="360"/>
        <w:spacing w:after="0" w:line="24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discussed in Note 1 to the consolidated financial statements, the Company has experienced recurring losses from operations and has a net capital deficiency and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237" w:lineRule="exact"/>
        <w:rPr>
          <w:sz w:val="20"/>
          <w:szCs w:val="20"/>
          <w:color w:val="auto"/>
        </w:rPr>
      </w:pPr>
    </w:p>
    <w:p>
      <w:pPr>
        <w:ind w:right="140" w:firstLine="361"/>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ind w:right="40" w:firstLine="361"/>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30, 2026</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800"/>
          </w:cols>
          <w:pgMar w:left="540" w:top="1347" w:right="540" w:bottom="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AEON BIOPHARMA,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 and par value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7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r>
      <w:tr>
        <w:trPr>
          <w:trHeight w:val="380"/>
        </w:trPr>
        <w:tc>
          <w:tcPr>
            <w:tcW w:w="7480" w:type="dxa"/>
            <w:vAlign w:val="bottom"/>
          </w:tcPr>
          <w:p>
            <w:pPr>
              <w:jc w:val="right"/>
              <w:ind w:right="340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3"/>
        </w:trPr>
        <w:tc>
          <w:tcPr>
            <w:tcW w:w="7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8"/>
              </w:rPr>
              <w:t>Cash and cash equivalents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3,006</w:t>
            </w:r>
          </w:p>
        </w:tc>
        <w:tc>
          <w:tcPr>
            <w:tcW w:w="2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0"/>
                <w:szCs w:val="20"/>
                <w:color w:val="auto"/>
              </w:rPr>
            </w:pPr>
          </w:p>
        </w:tc>
      </w:tr>
      <w:tr>
        <w:trPr>
          <w:trHeight w:val="250"/>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9"/>
              </w:rPr>
              <w:t>Prepaid expenses and other current assets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1,577</w:t>
            </w:r>
          </w:p>
        </w:tc>
        <w:tc>
          <w:tcPr>
            <w:tcW w:w="20" w:type="dxa"/>
            <w:vAlign w:val="bottom"/>
          </w:tcPr>
          <w:p>
            <w:pPr>
              <w:spacing w:after="0"/>
              <w:rPr>
                <w:sz w:val="21"/>
                <w:szCs w:val="21"/>
                <w:color w:val="auto"/>
              </w:rPr>
            </w:pPr>
          </w:p>
        </w:tc>
      </w:tr>
      <w:tr>
        <w:trPr>
          <w:trHeight w:val="199"/>
        </w:trPr>
        <w:tc>
          <w:tcPr>
            <w:tcW w:w="7480" w:type="dxa"/>
            <w:vAlign w:val="bottom"/>
          </w:tcPr>
          <w:p>
            <w:pPr>
              <w:jc w:val="right"/>
              <w:ind w:right="280"/>
              <w:spacing w:after="0" w:line="200" w:lineRule="exact"/>
              <w:rPr>
                <w:sz w:val="20"/>
                <w:szCs w:val="20"/>
                <w:color w:val="auto"/>
              </w:rPr>
            </w:pPr>
            <w:r>
              <w:rPr>
                <w:rFonts w:ascii="Times New Roman" w:cs="Times New Roman" w:eastAsia="Times New Roman" w:hAnsi="Times New Roman"/>
                <w:sz w:val="20"/>
                <w:szCs w:val="20"/>
                <w:color w:val="auto"/>
              </w:rPr>
              <w:t>. . . . . . . . . . . . . . . . . . . . . . . . . . . . . . . . . . . . . . . . . . . . . . . . . . . . . .</w:t>
            </w:r>
            <w:r>
              <w:rPr>
                <w:rFonts w:ascii="Times New Roman" w:cs="Times New Roman" w:eastAsia="Times New Roman" w:hAnsi="Times New Roman"/>
                <w:sz w:val="20"/>
                <w:szCs w:val="20"/>
                <w:b w:val="1"/>
                <w:bCs w:val="1"/>
                <w:color w:val="auto"/>
              </w:rPr>
              <w:t>Totalcurrentassets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3,398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1,590</w:t>
            </w:r>
          </w:p>
        </w:tc>
        <w:tc>
          <w:tcPr>
            <w:tcW w:w="20" w:type="dxa"/>
            <w:vAlign w:val="bottom"/>
          </w:tcPr>
          <w:p>
            <w:pPr>
              <w:spacing w:after="0"/>
              <w:rPr>
                <w:sz w:val="17"/>
                <w:szCs w:val="17"/>
                <w:color w:val="auto"/>
              </w:rPr>
            </w:pPr>
          </w:p>
        </w:tc>
      </w:tr>
      <w:tr>
        <w:trPr>
          <w:trHeight w:val="230"/>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7"/>
              </w:rPr>
              <w:t>Property and equipment, net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20" w:type="dxa"/>
            <w:vAlign w:val="bottom"/>
          </w:tcPr>
          <w:p>
            <w:pPr>
              <w:spacing w:after="0"/>
              <w:rPr>
                <w:sz w:val="20"/>
                <w:szCs w:val="20"/>
                <w:color w:val="auto"/>
              </w:rPr>
            </w:pPr>
          </w:p>
        </w:tc>
      </w:tr>
      <w:tr>
        <w:trPr>
          <w:trHeight w:val="230"/>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7"/>
              </w:rPr>
              <w:t>Operating lease right-of-use asset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1,288</w:t>
            </w:r>
          </w:p>
        </w:tc>
        <w:tc>
          <w:tcPr>
            <w:tcW w:w="20" w:type="dxa"/>
            <w:vAlign w:val="bottom"/>
          </w:tcPr>
          <w:p>
            <w:pPr>
              <w:spacing w:after="0"/>
              <w:rPr>
                <w:sz w:val="20"/>
                <w:szCs w:val="20"/>
                <w:color w:val="auto"/>
              </w:rPr>
            </w:pPr>
          </w:p>
        </w:tc>
      </w:tr>
      <w:tr>
        <w:trPr>
          <w:trHeight w:val="250"/>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6"/>
              </w:rPr>
              <w:t>Other assets . . . . . . . . . . . . . . .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948</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0" w:type="dxa"/>
            <w:vAlign w:val="bottom"/>
          </w:tcPr>
          <w:p>
            <w:pPr>
              <w:spacing w:after="0"/>
              <w:rPr>
                <w:sz w:val="21"/>
                <w:szCs w:val="21"/>
                <w:color w:val="auto"/>
              </w:rPr>
            </w:pPr>
          </w:p>
        </w:tc>
      </w:tr>
      <w:tr>
        <w:trPr>
          <w:trHeight w:val="229"/>
        </w:trPr>
        <w:tc>
          <w:tcPr>
            <w:tcW w:w="7480" w:type="dxa"/>
            <w:vAlign w:val="bottom"/>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w:t>
            </w:r>
            <w:r>
              <w:rPr>
                <w:rFonts w:ascii="Times New Roman" w:cs="Times New Roman" w:eastAsia="Times New Roman" w:hAnsi="Times New Roman"/>
                <w:sz w:val="20"/>
                <w:szCs w:val="20"/>
                <w:b w:val="1"/>
                <w:bCs w:val="1"/>
                <w:color w:val="auto"/>
              </w:rPr>
              <w:t>Totalassets</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5,560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3,142</w:t>
            </w:r>
          </w:p>
        </w:tc>
        <w:tc>
          <w:tcPr>
            <w:tcW w:w="20" w:type="dxa"/>
            <w:vAlign w:val="bottom"/>
          </w:tcPr>
          <w:p>
            <w:pPr>
              <w:spacing w:after="0"/>
              <w:rPr>
                <w:sz w:val="19"/>
                <w:szCs w:val="19"/>
                <w:color w:val="auto"/>
              </w:rPr>
            </w:pPr>
          </w:p>
        </w:tc>
      </w:tr>
      <w:tr>
        <w:trPr>
          <w:trHeight w:val="207"/>
        </w:trPr>
        <w:tc>
          <w:tcPr>
            <w:tcW w:w="7480" w:type="dxa"/>
            <w:vAlign w:val="bottom"/>
          </w:tcPr>
          <w:p>
            <w:pPr>
              <w:jc w:val="right"/>
              <w:ind w:right="1580"/>
              <w:spacing w:after="0" w:line="207" w:lineRule="exact"/>
              <w:rPr>
                <w:sz w:val="20"/>
                <w:szCs w:val="20"/>
                <w:color w:val="auto"/>
              </w:rPr>
            </w:pPr>
            <w:r>
              <w:rPr>
                <w:rFonts w:ascii="Times New Roman" w:cs="Times New Roman" w:eastAsia="Times New Roman" w:hAnsi="Times New Roman"/>
                <w:sz w:val="20"/>
                <w:szCs w:val="20"/>
                <w:b w:val="1"/>
                <w:bCs w:val="1"/>
                <w:color w:val="auto"/>
              </w:rPr>
              <w:t>LIABILITIES AND STOCKHOLDERS' DEFICIT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7"/>
              </w:rPr>
              <w:t>Accounts payable . . . . . .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w:t>
            </w:r>
          </w:p>
        </w:tc>
        <w:tc>
          <w:tcPr>
            <w:tcW w:w="2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5,910</w:t>
            </w:r>
          </w:p>
        </w:tc>
        <w:tc>
          <w:tcPr>
            <w:tcW w:w="20" w:type="dxa"/>
            <w:vAlign w:val="bottom"/>
          </w:tcPr>
          <w:p>
            <w:pPr>
              <w:spacing w:after="0"/>
              <w:rPr>
                <w:sz w:val="19"/>
                <w:szCs w:val="19"/>
                <w:color w:val="auto"/>
              </w:rPr>
            </w:pPr>
          </w:p>
        </w:tc>
      </w:tr>
      <w:tr>
        <w:trPr>
          <w:trHeight w:val="230"/>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9"/>
              </w:rPr>
              <w:t>Accrued clinical trials expenses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3,571</w:t>
            </w:r>
          </w:p>
        </w:tc>
        <w:tc>
          <w:tcPr>
            <w:tcW w:w="20" w:type="dxa"/>
            <w:vAlign w:val="bottom"/>
          </w:tcPr>
          <w:p>
            <w:pPr>
              <w:spacing w:after="0"/>
              <w:rPr>
                <w:sz w:val="20"/>
                <w:szCs w:val="20"/>
                <w:color w:val="auto"/>
              </w:rPr>
            </w:pPr>
          </w:p>
        </w:tc>
      </w:tr>
      <w:tr>
        <w:trPr>
          <w:trHeight w:val="230"/>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7"/>
              </w:rPr>
              <w:t>Accrued compensation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1,068</w:t>
            </w:r>
          </w:p>
        </w:tc>
        <w:tc>
          <w:tcPr>
            <w:tcW w:w="20" w:type="dxa"/>
            <w:vAlign w:val="bottom"/>
          </w:tcPr>
          <w:p>
            <w:pPr>
              <w:spacing w:after="0"/>
              <w:rPr>
                <w:sz w:val="20"/>
                <w:szCs w:val="20"/>
                <w:color w:val="auto"/>
              </w:rPr>
            </w:pPr>
          </w:p>
        </w:tc>
      </w:tr>
      <w:tr>
        <w:trPr>
          <w:trHeight w:val="250"/>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8"/>
              </w:rPr>
              <w:t>Other accrued expenses . . . .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3,600</w:t>
            </w:r>
          </w:p>
        </w:tc>
        <w:tc>
          <w:tcPr>
            <w:tcW w:w="20" w:type="dxa"/>
            <w:vAlign w:val="bottom"/>
          </w:tcPr>
          <w:p>
            <w:pPr>
              <w:spacing w:after="0"/>
              <w:rPr>
                <w:sz w:val="21"/>
                <w:szCs w:val="21"/>
                <w:color w:val="auto"/>
              </w:rPr>
            </w:pPr>
          </w:p>
        </w:tc>
      </w:tr>
      <w:tr>
        <w:trPr>
          <w:trHeight w:val="199"/>
        </w:trPr>
        <w:tc>
          <w:tcPr>
            <w:tcW w:w="7480" w:type="dxa"/>
            <w:vAlign w:val="bottom"/>
          </w:tcPr>
          <w:p>
            <w:pPr>
              <w:jc w:val="right"/>
              <w:ind w:right="280"/>
              <w:spacing w:after="0" w:line="200" w:lineRule="exact"/>
              <w:rPr>
                <w:sz w:val="20"/>
                <w:szCs w:val="20"/>
                <w:color w:val="auto"/>
              </w:rPr>
            </w:pPr>
            <w:r>
              <w:rPr>
                <w:rFonts w:ascii="Times New Roman" w:cs="Times New Roman" w:eastAsia="Times New Roman" w:hAnsi="Times New Roman"/>
                <w:sz w:val="20"/>
                <w:szCs w:val="20"/>
                <w:color w:val="auto"/>
              </w:rPr>
              <w:t>. . . . . . . . . . . . . . . . . . . . . . . . . . . . . . . . . . . . . . . . . . . . . . . . . . .</w:t>
            </w:r>
            <w:r>
              <w:rPr>
                <w:rFonts w:ascii="Times New Roman" w:cs="Times New Roman" w:eastAsia="Times New Roman" w:hAnsi="Times New Roman"/>
                <w:sz w:val="20"/>
                <w:szCs w:val="20"/>
                <w:b w:val="1"/>
                <w:bCs w:val="1"/>
                <w:color w:val="auto"/>
              </w:rPr>
              <w:t>Totalcurrentliabilities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6,897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14,149</w:t>
            </w:r>
          </w:p>
        </w:tc>
        <w:tc>
          <w:tcPr>
            <w:tcW w:w="20" w:type="dxa"/>
            <w:vAlign w:val="bottom"/>
          </w:tcPr>
          <w:p>
            <w:pPr>
              <w:spacing w:after="0"/>
              <w:rPr>
                <w:sz w:val="17"/>
                <w:szCs w:val="17"/>
                <w:color w:val="auto"/>
              </w:rPr>
            </w:pPr>
          </w:p>
        </w:tc>
      </w:tr>
      <w:tr>
        <w:trPr>
          <w:trHeight w:val="230"/>
        </w:trPr>
        <w:tc>
          <w:tcPr>
            <w:tcW w:w="7480" w:type="dxa"/>
            <w:vAlign w:val="bottom"/>
          </w:tcPr>
          <w:p>
            <w:pPr>
              <w:jc w:val="right"/>
              <w:ind w:right="1020"/>
              <w:spacing w:after="0"/>
              <w:rPr>
                <w:sz w:val="20"/>
                <w:szCs w:val="20"/>
                <w:color w:val="auto"/>
              </w:rPr>
            </w:pPr>
            <w:r>
              <w:rPr>
                <w:rFonts w:ascii="Times New Roman" w:cs="Times New Roman" w:eastAsia="Times New Roman" w:hAnsi="Times New Roman"/>
                <w:sz w:val="20"/>
                <w:szCs w:val="20"/>
                <w:color w:val="auto"/>
              </w:rPr>
              <w:t>Convertible notes at fair value, including related party amount of $34,600 and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$11,689, at December 31, 2025 and 2024, respectively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34,600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11,689</w:t>
            </w:r>
          </w:p>
        </w:tc>
        <w:tc>
          <w:tcPr>
            <w:tcW w:w="20" w:type="dxa"/>
            <w:vAlign w:val="bottom"/>
          </w:tcPr>
          <w:p>
            <w:pPr>
              <w:spacing w:after="0"/>
              <w:rPr>
                <w:sz w:val="20"/>
                <w:szCs w:val="20"/>
                <w:color w:val="auto"/>
              </w:rPr>
            </w:pPr>
          </w:p>
        </w:tc>
      </w:tr>
      <w:tr>
        <w:trPr>
          <w:trHeight w:val="229"/>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8"/>
              </w:rPr>
              <w:t>Operating lease liability . . . . . . . . . . . . . . . . . . . . . . . .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w:t>
            </w:r>
          </w:p>
        </w:tc>
        <w:tc>
          <w:tcPr>
            <w:tcW w:w="20" w:type="dxa"/>
            <w:vAlign w:val="bottom"/>
          </w:tcPr>
          <w:p>
            <w:pPr>
              <w:spacing w:after="0"/>
              <w:rPr>
                <w:sz w:val="19"/>
                <w:szCs w:val="19"/>
                <w:color w:val="auto"/>
              </w:rPr>
            </w:pPr>
          </w:p>
        </w:tc>
      </w:tr>
      <w:tr>
        <w:trPr>
          <w:trHeight w:val="230"/>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8"/>
              </w:rPr>
              <w:t>Derivative liability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14,879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7"/>
              </w:rPr>
              <w:t>Warrant liabilities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1,187</w:t>
            </w:r>
          </w:p>
        </w:tc>
        <w:tc>
          <w:tcPr>
            <w:tcW w:w="20" w:type="dxa"/>
            <w:vAlign w:val="bottom"/>
          </w:tcPr>
          <w:p>
            <w:pPr>
              <w:spacing w:after="0"/>
              <w:rPr>
                <w:sz w:val="20"/>
                <w:szCs w:val="20"/>
                <w:color w:val="auto"/>
              </w:rPr>
            </w:pPr>
          </w:p>
        </w:tc>
      </w:tr>
      <w:tr>
        <w:trPr>
          <w:trHeight w:val="250"/>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8"/>
              </w:rPr>
              <w:t>Contingent consideration liability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3,541</w:t>
            </w:r>
          </w:p>
        </w:tc>
        <w:tc>
          <w:tcPr>
            <w:tcW w:w="20" w:type="dxa"/>
            <w:vAlign w:val="bottom"/>
          </w:tcPr>
          <w:p>
            <w:pPr>
              <w:spacing w:after="0"/>
              <w:rPr>
                <w:sz w:val="21"/>
                <w:szCs w:val="21"/>
                <w:color w:val="auto"/>
              </w:rPr>
            </w:pPr>
          </w:p>
        </w:tc>
      </w:tr>
      <w:tr>
        <w:trPr>
          <w:trHeight w:val="199"/>
        </w:trPr>
        <w:tc>
          <w:tcPr>
            <w:tcW w:w="7480" w:type="dxa"/>
            <w:vAlign w:val="bottom"/>
          </w:tcPr>
          <w:p>
            <w:pPr>
              <w:jc w:val="right"/>
              <w:ind w:right="280"/>
              <w:spacing w:after="0" w:line="200" w:lineRule="exact"/>
              <w:rPr>
                <w:sz w:val="20"/>
                <w:szCs w:val="20"/>
                <w:color w:val="auto"/>
              </w:rPr>
            </w:pPr>
            <w:r>
              <w:rPr>
                <w:rFonts w:ascii="Times New Roman" w:cs="Times New Roman" w:eastAsia="Times New Roman" w:hAnsi="Times New Roman"/>
                <w:sz w:val="20"/>
                <w:szCs w:val="20"/>
                <w:color w:val="auto"/>
              </w:rPr>
              <w:t>. . . . . . . . . . . . . . . . . . . . . . . . . . . . . . . . . . . . . . . . . . . . . . . . . . . . . . . . . .</w:t>
            </w:r>
            <w:r>
              <w:rPr>
                <w:rFonts w:ascii="Times New Roman" w:cs="Times New Roman" w:eastAsia="Times New Roman" w:hAnsi="Times New Roman"/>
                <w:sz w:val="20"/>
                <w:szCs w:val="20"/>
                <w:b w:val="1"/>
                <w:bCs w:val="1"/>
                <w:color w:val="auto"/>
              </w:rPr>
              <w:t>Totalliabilities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60,587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31,711</w:t>
            </w:r>
          </w:p>
        </w:tc>
        <w:tc>
          <w:tcPr>
            <w:tcW w:w="20" w:type="dxa"/>
            <w:vAlign w:val="bottom"/>
          </w:tcPr>
          <w:p>
            <w:pPr>
              <w:spacing w:after="0"/>
              <w:rPr>
                <w:sz w:val="17"/>
                <w:szCs w:val="17"/>
                <w:color w:val="auto"/>
              </w:rPr>
            </w:pPr>
          </w:p>
        </w:tc>
      </w:tr>
      <w:tr>
        <w:trPr>
          <w:trHeight w:val="226"/>
        </w:trPr>
        <w:tc>
          <w:tcPr>
            <w:tcW w:w="748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Commitments and contingencies (Note 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3"/>
        </w:trPr>
        <w:tc>
          <w:tcPr>
            <w:tcW w:w="7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Stockholders’ Deficit: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Class A common stock, $0.0001 par value; 1,040,000,000 and 500,000,000 shares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authorized at December 31, 2025 and 2024, and 12,105,902 and 555,511 shares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8"/>
              </w:rPr>
              <w:t>issued and outstanding at December 31, 2025 and 2024, respectively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19"/>
                <w:szCs w:val="19"/>
                <w:color w:val="auto"/>
              </w:rPr>
            </w:pPr>
          </w:p>
        </w:tc>
      </w:tr>
      <w:tr>
        <w:trPr>
          <w:trHeight w:val="230"/>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6"/>
              </w:rPr>
              <w:t>Additional paid-in capital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415,783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403,024</w:t>
            </w:r>
          </w:p>
        </w:tc>
        <w:tc>
          <w:tcPr>
            <w:tcW w:w="20" w:type="dxa"/>
            <w:vAlign w:val="bottom"/>
          </w:tcPr>
          <w:p>
            <w:pPr>
              <w:spacing w:after="0"/>
              <w:rPr>
                <w:sz w:val="20"/>
                <w:szCs w:val="20"/>
                <w:color w:val="auto"/>
              </w:rPr>
            </w:pPr>
          </w:p>
        </w:tc>
      </w:tr>
      <w:tr>
        <w:trPr>
          <w:trHeight w:val="250"/>
        </w:trPr>
        <w:tc>
          <w:tcPr>
            <w:tcW w:w="7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6"/>
              </w:rPr>
              <w:t>Accumulated deficit . . . . . . . .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(470,819)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(431,597)</w:t>
            </w:r>
          </w:p>
        </w:tc>
        <w:tc>
          <w:tcPr>
            <w:tcW w:w="20" w:type="dxa"/>
            <w:vAlign w:val="bottom"/>
          </w:tcPr>
          <w:p>
            <w:pPr>
              <w:spacing w:after="0"/>
              <w:rPr>
                <w:sz w:val="21"/>
                <w:szCs w:val="21"/>
                <w:color w:val="auto"/>
              </w:rPr>
            </w:pPr>
          </w:p>
        </w:tc>
      </w:tr>
      <w:tr>
        <w:trPr>
          <w:trHeight w:val="220"/>
        </w:trPr>
        <w:tc>
          <w:tcPr>
            <w:tcW w:w="7480" w:type="dxa"/>
            <w:vAlign w:val="bottom"/>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 . . .</w:t>
            </w:r>
            <w:r>
              <w:rPr>
                <w:rFonts w:ascii="Times New Roman" w:cs="Times New Roman" w:eastAsia="Times New Roman" w:hAnsi="Times New Roman"/>
                <w:sz w:val="20"/>
                <w:szCs w:val="20"/>
                <w:b w:val="1"/>
                <w:bCs w:val="1"/>
                <w:color w:val="auto"/>
              </w:rPr>
              <w:t>Totalstockholders'deficit</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(55,027)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(28,569)</w:t>
            </w:r>
          </w:p>
        </w:tc>
        <w:tc>
          <w:tcPr>
            <w:tcW w:w="20" w:type="dxa"/>
            <w:vAlign w:val="bottom"/>
          </w:tcPr>
          <w:p>
            <w:pPr>
              <w:spacing w:after="0"/>
              <w:rPr>
                <w:sz w:val="19"/>
                <w:szCs w:val="19"/>
                <w:color w:val="auto"/>
              </w:rPr>
            </w:pPr>
          </w:p>
        </w:tc>
      </w:tr>
      <w:tr>
        <w:trPr>
          <w:trHeight w:val="230"/>
        </w:trPr>
        <w:tc>
          <w:tcPr>
            <w:tcW w:w="7480" w:type="dxa"/>
            <w:vAlign w:val="bottom"/>
          </w:tcPr>
          <w:p>
            <w:pPr>
              <w:jc w:val="right"/>
              <w:ind w:right="28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w:t>
            </w:r>
            <w:r>
              <w:rPr>
                <w:rFonts w:ascii="Times New Roman" w:cs="Times New Roman" w:eastAsia="Times New Roman" w:hAnsi="Times New Roman"/>
                <w:sz w:val="20"/>
                <w:szCs w:val="20"/>
                <w:b w:val="1"/>
                <w:bCs w:val="1"/>
                <w:color w:val="auto"/>
              </w:rPr>
              <w:t>Totalliabilitiesandstockholders'deficit</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5,560</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3,142</w:t>
            </w:r>
          </w:p>
        </w:tc>
        <w:tc>
          <w:tcPr>
            <w:tcW w:w="20" w:type="dxa"/>
            <w:vAlign w:val="bottom"/>
          </w:tcPr>
          <w:p>
            <w:pPr>
              <w:spacing w:after="0"/>
              <w:rPr>
                <w:sz w:val="20"/>
                <w:szCs w:val="20"/>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800"/>
          </w:cols>
          <w:pgMar w:left="540" w:top="1345" w:right="540" w:bottom="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AEON BIOPHARMA,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 INCOME</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8"/>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0" w:type="dxa"/>
            <w:vAlign w:val="bottom"/>
          </w:tcPr>
          <w:p>
            <w:pPr>
              <w:spacing w:after="0"/>
              <w:rPr>
                <w:sz w:val="1"/>
                <w:szCs w:val="1"/>
                <w:color w:val="auto"/>
              </w:rPr>
            </w:pPr>
          </w:p>
        </w:tc>
      </w:tr>
      <w:tr>
        <w:trPr>
          <w:trHeight w:val="174"/>
        </w:trPr>
        <w:tc>
          <w:tcPr>
            <w:tcW w:w="86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Operating expenses:</w:t>
            </w:r>
          </w:p>
        </w:tc>
        <w:tc>
          <w:tcPr>
            <w:tcW w:w="1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8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26"/>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6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Selling, general and administrative . . . . . . .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w w:val="99"/>
              </w:rPr>
              <w:t>Research and development . . . . . . . . . . . . . . . . . . . . . . . . . . . . . . . . . . . . . . . . . . . . . . . . . . . . . . . . . . . . . . . . . . .</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Change in fair value of contingent consideration . . . . . . . . . . . . . . . . . . . . . . . . . . . . . . . . . . . . . . . . . . . . . . . . .</w:t>
            </w:r>
          </w:p>
        </w:tc>
        <w:tc>
          <w:tcPr>
            <w:tcW w:w="1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auto"/>
              </w:rPr>
              <w:t>(3,499)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(100,809)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0" w:type="dxa"/>
            <w:vAlign w:val="bottom"/>
            <w:gridSpan w:val="2"/>
          </w:tcPr>
          <w:p>
            <w:pPr>
              <w:jc w:val="right"/>
              <w:ind w:right="200"/>
              <w:spacing w:after="0" w:line="209" w:lineRule="exact"/>
              <w:rPr>
                <w:sz w:val="20"/>
                <w:szCs w:val="20"/>
                <w:color w:val="auto"/>
              </w:rPr>
            </w:pPr>
            <w:r>
              <w:rPr>
                <w:rFonts w:ascii="Times New Roman" w:cs="Times New Roman" w:eastAsia="Times New Roman" w:hAnsi="Times New Roman"/>
                <w:sz w:val="19"/>
                <w:szCs w:val="19"/>
                <w:color w:val="auto"/>
              </w:rPr>
              <w:t>. . . . . . . . . . . . . . . . . . . . . . . . . . . . . . . . . . . . . . . . . . . . . . . . . . . . . . . . . . .Totaloperatingcostsandexpenses</w:t>
            </w: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19"/>
                <w:szCs w:val="19"/>
                <w:color w:val="auto"/>
              </w:rPr>
              <w:t>12,803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19"/>
                <w:szCs w:val="19"/>
                <w:color w:val="auto"/>
              </w:rPr>
              <w:t>(72,985)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0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9"/>
                <w:szCs w:val="19"/>
                <w:color w:val="auto"/>
              </w:rPr>
              <w:t>. . . . . . . . . . . . . . . . . . . . . . . . . . . . . . . . . . . . . . . . . . . . . . . . . . . . . . . . . . . . . . . . .(Loss)incomefromoperations</w:t>
            </w:r>
          </w:p>
        </w:tc>
        <w:tc>
          <w:tcPr>
            <w:tcW w:w="1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9"/>
                <w:szCs w:val="19"/>
                <w:color w:val="auto"/>
              </w:rPr>
              <w:t>(12,803)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9"/>
                <w:szCs w:val="19"/>
                <w:color w:val="auto"/>
              </w:rPr>
              <w:t>72,985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6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(loss) income: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Change in fair value of convertible notes . . . . . . . . . . . . . . . . . . . . . . . . . . . . . . . . . . . . . . . . . . . . . . . . . . . . . . .</w:t>
            </w: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(22,911)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6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Change in fair value of warrants . . . . . . . . . . . . . . . . . . . . . . . . . . . . . . . . . . . . . . . . . . . . . . . . . . . . . . . . . . . . . .</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84,934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(14,719)</w:t>
            </w:r>
          </w:p>
        </w:tc>
        <w:tc>
          <w:tcPr>
            <w:tcW w:w="0" w:type="dxa"/>
            <w:vAlign w:val="bottom"/>
          </w:tcPr>
          <w:p>
            <w:pPr>
              <w:spacing w:after="0"/>
              <w:rPr>
                <w:sz w:val="1"/>
                <w:szCs w:val="1"/>
                <w:color w:val="auto"/>
              </w:rPr>
            </w:pPr>
          </w:p>
        </w:tc>
      </w:tr>
      <w:tr>
        <w:trPr>
          <w:trHeight w:val="218"/>
        </w:trPr>
        <w:tc>
          <w:tcPr>
            <w:tcW w:w="86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Loss on issuance of warrants . . . . . . . . . . . . . . . . . . . . . . . . . . . . . . . . . . . . . . . . . . . . . . . . . . . . . . . . . . . . . . . . .</w:t>
            </w: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(75,644)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86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Loss on embedded forward purchase agreements . . . . . . . . . . . . . . . . . . . . . . . . . . . . . . . . . . . . . . . . . . . . . . . . .</w:t>
            </w:r>
          </w:p>
        </w:tc>
        <w:tc>
          <w:tcPr>
            <w:tcW w:w="120" w:type="dxa"/>
            <w:vAlign w:val="bottom"/>
          </w:tcPr>
          <w:p>
            <w:pPr>
              <w:spacing w:after="0"/>
              <w:rPr>
                <w:sz w:val="18"/>
                <w:szCs w:val="18"/>
                <w:color w:val="auto"/>
              </w:rPr>
            </w:pPr>
          </w:p>
        </w:tc>
        <w:tc>
          <w:tcPr>
            <w:tcW w:w="1120" w:type="dxa"/>
            <w:vAlign w:val="bottom"/>
            <w:gridSpan w:val="5"/>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(19,667)</w:t>
            </w:r>
          </w:p>
        </w:tc>
        <w:tc>
          <w:tcPr>
            <w:tcW w:w="0" w:type="dxa"/>
            <w:vAlign w:val="bottom"/>
          </w:tcPr>
          <w:p>
            <w:pPr>
              <w:spacing w:after="0"/>
              <w:rPr>
                <w:sz w:val="1"/>
                <w:szCs w:val="1"/>
                <w:color w:val="auto"/>
              </w:rPr>
            </w:pPr>
          </w:p>
        </w:tc>
      </w:tr>
      <w:tr>
        <w:trPr>
          <w:trHeight w:val="218"/>
        </w:trPr>
        <w:tc>
          <w:tcPr>
            <w:tcW w:w="86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w w:val="99"/>
              </w:rPr>
              <w:t>Loss on derivative liability . . . . . . . . . . . . . . . . . . . . . . . . . . . . . . . . . . . . . . . . . . . . . . . . . . . . . . . . . . . . . . . . . . .</w:t>
            </w: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(13,088)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86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w w:val="99"/>
              </w:rPr>
              <w:t>Other income, net . . . . . . . . . . . . . . . . . . . . . . . . . . . . . . . . . . . . . . . . . . . . . . . . . . . . . . . . . . . . . . . . . . . . . . . . . .</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600" w:type="dxa"/>
            <w:vAlign w:val="bottom"/>
            <w:gridSpan w:val="2"/>
          </w:tcPr>
          <w:p>
            <w:pPr>
              <w:jc w:val="right"/>
              <w:ind w:right="200"/>
              <w:spacing w:after="0" w:line="208" w:lineRule="exact"/>
              <w:rPr>
                <w:sz w:val="20"/>
                <w:szCs w:val="20"/>
                <w:color w:val="auto"/>
              </w:rPr>
            </w:pPr>
            <w:r>
              <w:rPr>
                <w:rFonts w:ascii="Times New Roman" w:cs="Times New Roman" w:eastAsia="Times New Roman" w:hAnsi="Times New Roman"/>
                <w:sz w:val="19"/>
                <w:szCs w:val="19"/>
                <w:color w:val="auto"/>
              </w:rPr>
              <w:t>. . . . . . . . . . . . . . . . . . . . . . . . . . . . . . . . . . . . . . . . . . . . . . . . . . . . . . . . . . . . . . . . . . . . . . .Totalotherloss,net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(26,419)</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(30,980)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60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9"/>
                <w:szCs w:val="19"/>
                <w:color w:val="auto"/>
              </w:rPr>
              <w:t>. . . . . . . . . . . . . . . . . . . . . . . . . . . . . . . . . . . . . . . . . . . . . . . . . . . . . . . . . . . . . . . . . . . .(Loss)incomebeforetaxes</w:t>
            </w:r>
          </w:p>
        </w:tc>
        <w:tc>
          <w:tcPr>
            <w:tcW w:w="120" w:type="dxa"/>
            <w:vAlign w:val="bottom"/>
          </w:tcPr>
          <w:p>
            <w:pPr>
              <w:spacing w:after="0"/>
              <w:rPr>
                <w:sz w:val="16"/>
                <w:szCs w:val="16"/>
                <w:color w:val="auto"/>
              </w:rPr>
            </w:pPr>
          </w:p>
        </w:tc>
        <w:tc>
          <w:tcPr>
            <w:tcW w:w="96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9"/>
                <w:szCs w:val="19"/>
                <w:color w:val="auto"/>
              </w:rPr>
              <w:t>(39,222)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42,005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w w:val="98"/>
              </w:rPr>
              <w:t>Income taxes . . . . . . . . . . . . . . . . . . . . . . . . . . . . . . . . . . . . . . . . . . . . . . . . . . . . . . . . . . . . . . . . . . . . . . . . . . . . . . .</w:t>
            </w:r>
          </w:p>
        </w:tc>
        <w:tc>
          <w:tcPr>
            <w:tcW w:w="120" w:type="dxa"/>
            <w:vAlign w:val="bottom"/>
          </w:tcPr>
          <w:p>
            <w:pPr>
              <w:spacing w:after="0"/>
              <w:rPr>
                <w:sz w:val="20"/>
                <w:szCs w:val="20"/>
                <w:color w:val="auto"/>
              </w:rPr>
            </w:pPr>
          </w:p>
        </w:tc>
        <w:tc>
          <w:tcPr>
            <w:tcW w:w="1120" w:type="dxa"/>
            <w:vAlign w:val="bottom"/>
            <w:gridSpan w:val="5"/>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8"/>
        </w:trPr>
        <w:tc>
          <w:tcPr>
            <w:tcW w:w="8600" w:type="dxa"/>
            <w:vAlign w:val="bottom"/>
            <w:gridSpan w:val="2"/>
          </w:tcPr>
          <w:p>
            <w:pPr>
              <w:jc w:val="right"/>
              <w:ind w:right="200"/>
              <w:spacing w:after="0" w:line="208" w:lineRule="exact"/>
              <w:rPr>
                <w:sz w:val="20"/>
                <w:szCs w:val="20"/>
                <w:color w:val="auto"/>
              </w:rPr>
            </w:pPr>
            <w:r>
              <w:rPr>
                <w:rFonts w:ascii="Times New Roman" w:cs="Times New Roman" w:eastAsia="Times New Roman" w:hAnsi="Times New Roman"/>
                <w:sz w:val="19"/>
                <w:szCs w:val="19"/>
                <w:color w:val="auto"/>
              </w:rPr>
              <w:t>. . . . . . . . . . . . . . . . . . . . . . . . . . . . . . . . . . . . . . . . . . . . . . . . . . . . . . . . . . . . . . . . . . . . . . . . . . .Net(loss)income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(39,222)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42,005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00" w:type="dxa"/>
            <w:vAlign w:val="bottom"/>
            <w:gridSpan w:val="2"/>
          </w:tcPr>
          <w:p>
            <w:pPr>
              <w:jc w:val="right"/>
              <w:ind w:right="200"/>
              <w:spacing w:after="0" w:line="208" w:lineRule="exact"/>
              <w:rPr>
                <w:sz w:val="20"/>
                <w:szCs w:val="20"/>
                <w:color w:val="auto"/>
              </w:rPr>
            </w:pPr>
            <w:r>
              <w:rPr>
                <w:rFonts w:ascii="Times New Roman" w:cs="Times New Roman" w:eastAsia="Times New Roman" w:hAnsi="Times New Roman"/>
                <w:sz w:val="19"/>
                <w:szCs w:val="19"/>
                <w:color w:val="auto"/>
              </w:rPr>
              <w:t>. . . . . . . . . . . . . . . . . . . . . . . . . . . . . . . . . . . . . . . . . . . . . . . . . . . . . . . . . . . . . . .Basicnet(loss)incomepershare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(3.95)</w:t>
            </w:r>
          </w:p>
        </w:tc>
        <w:tc>
          <w:tcPr>
            <w:tcW w:w="40" w:type="dxa"/>
            <w:vAlign w:val="bottom"/>
            <w:tcBorders>
              <w:bottom w:val="single" w:sz="8" w:color="auto"/>
            </w:tcBorders>
            <w:gridSpan w:val="2"/>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77.74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00" w:type="dxa"/>
            <w:vAlign w:val="bottom"/>
            <w:gridSpan w:val="2"/>
          </w:tcPr>
          <w:p>
            <w:pPr>
              <w:jc w:val="right"/>
              <w:ind w:right="200"/>
              <w:spacing w:after="0" w:line="208" w:lineRule="exact"/>
              <w:rPr>
                <w:sz w:val="20"/>
                <w:szCs w:val="20"/>
                <w:color w:val="auto"/>
              </w:rPr>
            </w:pPr>
            <w:r>
              <w:rPr>
                <w:rFonts w:ascii="Times New Roman" w:cs="Times New Roman" w:eastAsia="Times New Roman" w:hAnsi="Times New Roman"/>
                <w:sz w:val="19"/>
                <w:szCs w:val="19"/>
                <w:color w:val="auto"/>
              </w:rPr>
              <w:t>. . . . . . . . . . . . . . . . . . . . . . . . . . . . . . . . . . . . . . . . . . . . . . . . . . . . . . . . . . . . .Dilutednet(loss)incomepershare</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(3.95)</w:t>
            </w:r>
          </w:p>
        </w:tc>
        <w:tc>
          <w:tcPr>
            <w:tcW w:w="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72.93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 . . .Weightedaveragesharesofcommonstockoutstandingusedtocomputebasicnet(loss)incomepershare</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9,921,587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540,360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w w:val="99"/>
              </w:rPr>
              <w:t>Weighted average shares of common stock outstanding used to compute diluted net (loss) income per share . . .</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9,921,587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575,945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800"/>
          </w:cols>
          <w:pgMar w:left="540" w:top="1345" w:right="540" w:bottom="0" w:gutter="0" w:footer="0" w:header="0"/>
          <w:type w:val="continuous"/>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b w:val="1"/>
          <w:bCs w:val="1"/>
          <w:color w:val="auto"/>
        </w:rPr>
        <w:t>AEON BIOPHARMA, INC.</w:t>
      </w:r>
    </w:p>
    <w:p>
      <w:pPr>
        <w:spacing w:after="0" w:line="45"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DEFICIT</w:t>
      </w:r>
    </w:p>
    <w:p>
      <w:pPr>
        <w:spacing w:after="0" w:line="1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ectPr>
          <w:pgSz w:w="15480" w:h="11880" w:orient="landscape"/>
          <w:cols w:equalWidth="0" w:num="1">
            <w:col w:w="14015"/>
          </w:cols>
          <w:pgMar w:left="565" w:top="1440" w:right="9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89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Balance as of January 1, 2025 </w:t>
      </w:r>
      <w:r>
        <w:rPr>
          <w:rFonts w:ascii="Times New Roman" w:cs="Times New Roman" w:eastAsia="Times New Roman" w:hAnsi="Times New Roman"/>
          <w:sz w:val="16"/>
          <w:szCs w:val="16"/>
          <w:color w:val="auto"/>
        </w:rPr>
        <w:t>. . . . . . . . . . . . . . . . . . . . . . . . . . . . . . . . . .</w:t>
      </w:r>
    </w:p>
    <w:p>
      <w:pPr>
        <w:spacing w:after="0" w:line="36" w:lineRule="exact"/>
        <w:rPr>
          <w:sz w:val="20"/>
          <w:szCs w:val="20"/>
          <w:color w:val="auto"/>
        </w:rPr>
      </w:pPr>
    </w:p>
    <w:p>
      <w:pPr>
        <w:ind w:left="120"/>
        <w:spacing w:after="0" w:line="238" w:lineRule="auto"/>
        <w:rPr>
          <w:sz w:val="20"/>
          <w:szCs w:val="20"/>
          <w:color w:val="auto"/>
        </w:rPr>
      </w:pPr>
      <w:r>
        <w:rPr>
          <w:rFonts w:ascii="Times New Roman" w:cs="Times New Roman" w:eastAsia="Times New Roman" w:hAnsi="Times New Roman"/>
          <w:sz w:val="16"/>
          <w:szCs w:val="16"/>
          <w:color w:val="auto"/>
        </w:rPr>
        <w:t>Net loss . . . . . . . . . . . . . . . . . . . . . . . . . . . . . . . . . . . . . . . . . . . . . . . . . . Issuance of shares and reclassification of liability related to cashless warrant exercises . . . . . . . . . . . . . . . . . . . . . . . . . . . . . . . . . . . . . . . . . . . Issuance of shares related to at-the-market offering, net . . . . . . . . . . . . . . .</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Issuance of common stock . . . . . . . . . . . . . . . . . . . . . . . . . . . . . . . . . . . .</w:t>
      </w:r>
    </w:p>
    <w:p>
      <w:pPr>
        <w:ind w:left="120"/>
        <w:spacing w:after="0"/>
        <w:rPr>
          <w:sz w:val="20"/>
          <w:szCs w:val="20"/>
          <w:color w:val="auto"/>
        </w:rPr>
      </w:pPr>
      <w:r>
        <w:rPr>
          <w:rFonts w:ascii="Times New Roman" w:cs="Times New Roman" w:eastAsia="Times New Roman" w:hAnsi="Times New Roman"/>
          <w:sz w:val="16"/>
          <w:szCs w:val="16"/>
          <w:color w:val="auto"/>
        </w:rPr>
        <w:t>Stock-based compensation expense . . . . . . . . . . . . . . . . . . . . . . . . . . . . . .</w:t>
      </w:r>
    </w:p>
    <w:p>
      <w:pPr>
        <w:spacing w:after="0"/>
        <w:rPr>
          <w:sz w:val="20"/>
          <w:szCs w:val="20"/>
          <w:color w:val="auto"/>
        </w:rPr>
      </w:pPr>
      <w:r>
        <w:rPr>
          <w:rFonts w:ascii="Times New Roman" w:cs="Times New Roman" w:eastAsia="Times New Roman" w:hAnsi="Times New Roman"/>
          <w:sz w:val="16"/>
          <w:szCs w:val="16"/>
          <w:b w:val="1"/>
          <w:bCs w:val="1"/>
          <w:color w:val="auto"/>
        </w:rPr>
        <w:t xml:space="preserve">Balance as of December 31, 2025 </w:t>
      </w:r>
      <w:r>
        <w:rPr>
          <w:rFonts w:ascii="Times New Roman" w:cs="Times New Roman" w:eastAsia="Times New Roman" w:hAnsi="Times New Roman"/>
          <w:sz w:val="16"/>
          <w:szCs w:val="16"/>
          <w:color w:val="auto"/>
        </w:rPr>
        <w:t>. . . . . . . . . . . . . . . . . . . . . . . . . . . . . . . .</w:t>
      </w:r>
    </w:p>
    <w:p>
      <w:pPr>
        <w:spacing w:after="0" w:line="3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Balance as of January 1, 2024</w:t>
      </w:r>
      <w:r>
        <w:rPr>
          <w:rFonts w:ascii="Times New Roman" w:cs="Times New Roman" w:eastAsia="Times New Roman" w:hAnsi="Times New Roman"/>
          <w:sz w:val="16"/>
          <w:szCs w:val="16"/>
          <w:color w:val="auto"/>
        </w:rPr>
        <w:t>. . . . . . . . . . . . . . . . . . . . . . . . . . . . . . . . .</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Net income . . . . . . . . . . . . . . . . . . . . . . . . . . . . . . . . . . . . . . . . . . . . . . . .</w:t>
      </w:r>
    </w:p>
    <w:p>
      <w:pPr>
        <w:ind w:left="120"/>
        <w:spacing w:after="0" w:line="239" w:lineRule="auto"/>
        <w:rPr>
          <w:sz w:val="20"/>
          <w:szCs w:val="20"/>
          <w:color w:val="auto"/>
        </w:rPr>
      </w:pPr>
      <w:r>
        <w:rPr>
          <w:rFonts w:ascii="Times New Roman" w:cs="Times New Roman" w:eastAsia="Times New Roman" w:hAnsi="Times New Roman"/>
          <w:sz w:val="16"/>
          <w:szCs w:val="16"/>
          <w:color w:val="auto"/>
        </w:rPr>
        <w:t>Termination of Forward Purchase Agreements . . . . . . . . . . . . . . . . . . . . . Issuance of shares and reclassification of liability related to cashless warrant exercises . . . . . . . . . . . . . . . . . . . . . . . . . . . . . . . . . . . . . . . . . . . Issuance of shares related to at-the-market offering, net . . . . . . . . . . . . . . .</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Issuance of common stock . . . . . . . . . . . . . . . . . . . . . . . . . . . . . . . . . . . .</w:t>
      </w:r>
    </w:p>
    <w:p>
      <w:pPr>
        <w:jc w:val="right"/>
        <w:spacing w:after="0"/>
        <w:rPr>
          <w:sz w:val="20"/>
          <w:szCs w:val="20"/>
          <w:color w:val="auto"/>
        </w:rPr>
      </w:pPr>
      <w:r>
        <w:rPr>
          <w:rFonts w:ascii="Times New Roman" w:cs="Times New Roman" w:eastAsia="Times New Roman" w:hAnsi="Times New Roman"/>
          <w:sz w:val="16"/>
          <w:szCs w:val="16"/>
          <w:color w:val="auto"/>
        </w:rPr>
        <w:t>Stock-based compensation expense . . . . . . . . . . . . . . . . . . . . . . . . . . . . . .</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r>
        <w:rPr>
          <w:rFonts w:ascii="Times New Roman" w:cs="Times New Roman" w:eastAsia="Times New Roman" w:hAnsi="Times New Roman"/>
          <w:sz w:val="16"/>
          <w:szCs w:val="16"/>
          <w:color w:val="auto"/>
        </w:rPr>
        <w:t>. . . . . . . . . . . . . . . . . . . . . . . . . . . . . . . .</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0"/>
        </w:trPr>
        <w:tc>
          <w:tcPr>
            <w:tcW w:w="20" w:type="dxa"/>
            <w:vAlign w:val="bottom"/>
          </w:tcPr>
          <w:p>
            <w:pPr>
              <w:spacing w:after="0"/>
              <w:rPr>
                <w:sz w:val="19"/>
                <w:szCs w:val="19"/>
                <w:color w:val="auto"/>
              </w:rPr>
            </w:pPr>
          </w:p>
        </w:tc>
        <w:tc>
          <w:tcPr>
            <w:tcW w:w="2220" w:type="dxa"/>
            <w:vAlign w:val="bottom"/>
            <w:tcBorders>
              <w:bottom w:val="single" w:sz="8" w:color="auto"/>
            </w:tcBorders>
            <w:gridSpan w:val="4"/>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Stockholders'</w:t>
            </w:r>
          </w:p>
        </w:tc>
      </w:tr>
      <w:tr>
        <w:trPr>
          <w:trHeight w:val="174"/>
        </w:trPr>
        <w:tc>
          <w:tcPr>
            <w:tcW w:w="20" w:type="dxa"/>
            <w:vAlign w:val="bottom"/>
          </w:tcPr>
          <w:p>
            <w:pPr>
              <w:spacing w:after="0"/>
              <w:rPr>
                <w:sz w:val="15"/>
                <w:szCs w:val="15"/>
                <w:color w:val="auto"/>
              </w:rPr>
            </w:pPr>
          </w:p>
        </w:tc>
        <w:tc>
          <w:tcPr>
            <w:tcW w:w="1020" w:type="dxa"/>
            <w:vAlign w:val="bottom"/>
          </w:tcPr>
          <w:p>
            <w:pPr>
              <w:jc w:val="right"/>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280"/>
              <w:spacing w:after="0" w:line="175" w:lineRule="exact"/>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460"/>
              <w:spacing w:after="0" w:line="175" w:lineRule="exact"/>
              <w:rPr>
                <w:sz w:val="20"/>
                <w:szCs w:val="20"/>
                <w:color w:val="auto"/>
              </w:rPr>
            </w:pPr>
            <w:r>
              <w:rPr>
                <w:rFonts w:ascii="Times New Roman" w:cs="Times New Roman" w:eastAsia="Times New Roman" w:hAnsi="Times New Roman"/>
                <w:sz w:val="16"/>
                <w:szCs w:val="16"/>
                <w:b w:val="1"/>
                <w:bCs w:val="1"/>
                <w:color w:val="auto"/>
              </w:rPr>
              <w:t>Receivables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5"/>
                <w:szCs w:val="15"/>
                <w:color w:val="auto"/>
              </w:rPr>
            </w:pPr>
          </w:p>
        </w:tc>
        <w:tc>
          <w:tcPr>
            <w:tcW w:w="112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w w:val="96"/>
              </w:rPr>
              <w:t>Deficit</w:t>
            </w:r>
          </w:p>
        </w:tc>
      </w:tr>
      <w:tr>
        <w:trPr>
          <w:trHeight w:val="138"/>
        </w:trPr>
        <w:tc>
          <w:tcPr>
            <w:tcW w:w="20" w:type="dxa"/>
            <w:vAlign w:val="bottom"/>
          </w:tcPr>
          <w:p>
            <w:pPr>
              <w:spacing w:after="0"/>
              <w:rPr>
                <w:sz w:val="12"/>
                <w:szCs w:val="12"/>
                <w:color w:val="auto"/>
              </w:rPr>
            </w:pPr>
          </w:p>
        </w:tc>
        <w:tc>
          <w:tcPr>
            <w:tcW w:w="10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color w:val="auto"/>
              </w:rPr>
              <w:t>555,511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auto"/>
            </w:tcBorders>
          </w:tcPr>
          <w:p>
            <w:pPr>
              <w:jc w:val="right"/>
              <w:ind w:right="797"/>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color w:val="auto"/>
              </w:rPr>
              <w:t>403,024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color w:val="auto"/>
              </w:rPr>
              <w:t>(431,597)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color w:val="auto"/>
              </w:rPr>
              <w:t>(28,569)</w:t>
            </w:r>
          </w:p>
        </w:tc>
        <w:tc>
          <w:tcPr>
            <w:tcW w:w="2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(39,222)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(39,222)</w:t>
            </w:r>
          </w:p>
        </w:tc>
      </w:tr>
      <w:tr>
        <w:trPr>
          <w:trHeight w:val="340"/>
        </w:trPr>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11,064,517</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7,044</w:t>
            </w:r>
          </w:p>
        </w:tc>
        <w:tc>
          <w:tcPr>
            <w:tcW w:w="2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218,419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267,455</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5,317</w:t>
            </w:r>
          </w:p>
        </w:tc>
        <w:tc>
          <w:tcPr>
            <w:tcW w:w="2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12,105,902</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797"/>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w:t>
            </w: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415,783</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(470,819)</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(55,027)</w:t>
            </w:r>
          </w:p>
        </w:tc>
        <w:tc>
          <w:tcPr>
            <w:tcW w:w="20" w:type="dxa"/>
            <w:vAlign w:val="bottom"/>
          </w:tcPr>
          <w:p>
            <w:pPr>
              <w:spacing w:after="0"/>
              <w:rPr>
                <w:sz w:val="16"/>
                <w:szCs w:val="16"/>
                <w:color w:val="auto"/>
              </w:rPr>
            </w:pPr>
          </w:p>
        </w:tc>
      </w:tr>
      <w:tr>
        <w:trPr>
          <w:trHeight w:val="518"/>
        </w:trPr>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516,404</w:t>
            </w:r>
          </w:p>
        </w:tc>
        <w:tc>
          <w:tcPr>
            <w:tcW w:w="1200" w:type="dxa"/>
            <w:vAlign w:val="bottom"/>
            <w:gridSpan w:val="3"/>
          </w:tcPr>
          <w:p>
            <w:pPr>
              <w:jc w:val="right"/>
              <w:ind w:right="79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381,264</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(60,710)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(473,602)</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(153,044)</w:t>
            </w:r>
          </w:p>
        </w:tc>
      </w:tr>
      <w:tr>
        <w:trPr>
          <w:trHeight w:val="184"/>
        </w:trPr>
        <w:tc>
          <w:tcPr>
            <w:tcW w:w="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42,005</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42,005</w:t>
            </w:r>
          </w:p>
        </w:tc>
        <w:tc>
          <w:tcPr>
            <w:tcW w:w="2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60,710</w:t>
            </w:r>
          </w:p>
        </w:tc>
        <w:tc>
          <w:tcPr>
            <w:tcW w:w="20" w:type="dxa"/>
            <w:vAlign w:val="bottom"/>
          </w:tcPr>
          <w:p>
            <w:pPr>
              <w:spacing w:after="0"/>
              <w:rPr>
                <w:sz w:val="18"/>
                <w:szCs w:val="18"/>
                <w:color w:val="auto"/>
              </w:rPr>
            </w:pPr>
          </w:p>
        </w:tc>
      </w:tr>
      <w:tr>
        <w:trPr>
          <w:trHeight w:val="340"/>
        </w:trPr>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14,979</w:t>
            </w:r>
          </w:p>
        </w:tc>
        <w:tc>
          <w:tcPr>
            <w:tcW w:w="2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5,556</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20" w:type="dxa"/>
            <w:vAlign w:val="bottom"/>
          </w:tcPr>
          <w:p>
            <w:pPr>
              <w:spacing w:after="0"/>
              <w:rPr>
                <w:sz w:val="18"/>
                <w:szCs w:val="18"/>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555,511</w:t>
            </w: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797"/>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403,024</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(431,597)</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(28,569)</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ectPr>
          <w:pgSz w:w="15480" w:h="11880" w:orient="landscape"/>
          <w:cols w:equalWidth="0" w:num="3">
            <w:col w:w="230" w:space="105"/>
            <w:col w:w="4920" w:space="380"/>
            <w:col w:w="8380"/>
          </w:cols>
          <w:pgMar w:left="565" w:top="1440" w:right="900" w:bottom="1440" w:gutter="0" w:footer="0" w:header="0"/>
          <w:type w:val="continuous"/>
        </w:sectPr>
      </w:pPr>
    </w:p>
    <w:p>
      <w:pPr>
        <w:spacing w:after="0" w:line="23" w:lineRule="exact"/>
        <w:rPr>
          <w:sz w:val="20"/>
          <w:szCs w:val="20"/>
          <w:color w:val="auto"/>
        </w:rPr>
      </w:pPr>
    </w:p>
    <w:p>
      <w:pPr>
        <w:ind w:left="4935"/>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5480" w:h="11880" w:orient="landscape"/>
          <w:cols w:equalWidth="0" w:num="1">
            <w:col w:w="14015"/>
          </w:cols>
          <w:pgMar w:left="565" w:top="1440" w:right="900"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AEON BIOPHARMA,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flows from operating activities:</w:t>
            </w: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2"/>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8"/>
              </w:rPr>
              <w:t>Net (loss) income . . . . . . . . . . . . . . . . . . . . . . . . . . . . . . . . . . . . . . . . . . . . . . . . . . . . . . . . . .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auto"/>
              </w:rPr>
              <w:t>Adjustments to reconcile net (loss) income to net cash used in operating activities: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9"/>
              </w:rPr>
              <w:t>Depreciation . . . . . . . . . . . . . . . . . . . . . . . . . . . . . . . . . . . . . . . . . . . . . . . . . . . . . . . .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Stock-based compensation expense . . . . . . . . . . . . . . . . . . . . . . . . . . . . . . . . . . . . . . . . . . .</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Non-cash issuance of common stock . . . . . . . . . . . . . . . . . . . . . . . . . . . . . . . . . . . .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Loss on issuance of warrants . . . . . . . . . . . . . . . . . . . . . . . . . . . . . . . . . . . . . . . . . .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75,644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Change in fair value of convertible notes . . . . . . . . . . . . . . . . . . . . . . . . . . . . . . . . . . . . . .</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(3,311)</w:t>
            </w:r>
          </w:p>
        </w:tc>
        <w:tc>
          <w:tcPr>
            <w:tcW w:w="0" w:type="dxa"/>
            <w:vAlign w:val="bottom"/>
          </w:tcPr>
          <w:p>
            <w:pPr>
              <w:spacing w:after="0"/>
              <w:rPr>
                <w:sz w:val="1"/>
                <w:szCs w:val="1"/>
                <w:color w:val="auto"/>
              </w:rPr>
            </w:pPr>
          </w:p>
        </w:tc>
      </w:tr>
      <w:tr>
        <w:trPr>
          <w:trHeight w:val="230"/>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9"/>
              </w:rPr>
              <w:t>Change in fair value of warrants . . . . . . . . . . . . . . . . . . . . . . . . . . . . . . . . . . . . . . . .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(84,934)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Change in fair value of embedded forward purchase agreements . . . . . . . . . . . . .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Loss on derivative liability . . . . . . . . . . . . . . . . . . . . . . . . . . . . . . . . . . . . . . . . . . . . . . . . . .</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13,088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Change in fair value of contingent consideration . . . . . . . . . . . . . . . . . . . . . . . . . .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(3,499)</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(100,809)</w:t>
            </w: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9"/>
              </w:rPr>
              <w:t>Prepaid expenses and other current assets . . . . . . . . . . . . . . . . . . . . . . . . . . . . . . . . . . . . . . .</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(513)</w:t>
            </w:r>
          </w:p>
        </w:tc>
        <w:tc>
          <w:tcPr>
            <w:tcW w:w="0" w:type="dxa"/>
            <w:vAlign w:val="bottom"/>
          </w:tcPr>
          <w:p>
            <w:pPr>
              <w:spacing w:after="0"/>
              <w:rPr>
                <w:sz w:val="1"/>
                <w:szCs w:val="1"/>
                <w:color w:val="auto"/>
              </w:rPr>
            </w:pPr>
          </w:p>
        </w:tc>
      </w:tr>
      <w:tr>
        <w:trPr>
          <w:trHeight w:val="230"/>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7"/>
              </w:rPr>
              <w:t>Accounts payable . . . . . . . . . . . . . . . . . . . . . . . . . . . . . . . . . . . . . . . . . . . . . . . . . . . . .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9"/>
              </w:rPr>
              <w:t>Accrued expenses and other liabilities . . . . . . . . . . . . . . . . . . . . . . . . . . . . . . . . . . . .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(2,206)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(1,423)</w:t>
            </w:r>
          </w:p>
        </w:tc>
        <w:tc>
          <w:tcPr>
            <w:tcW w:w="0" w:type="dxa"/>
            <w:vAlign w:val="bottom"/>
          </w:tcPr>
          <w:p>
            <w:pPr>
              <w:spacing w:after="0"/>
              <w:rPr>
                <w:sz w:val="1"/>
                <w:szCs w:val="1"/>
                <w:color w:val="auto"/>
              </w:rPr>
            </w:pPr>
          </w:p>
        </w:tc>
      </w:tr>
      <w:tr>
        <w:trPr>
          <w:trHeight w:val="250"/>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8"/>
              </w:rPr>
              <w:t>Other assets and liabilities . . . . . . . . . . . . . . . . . . . . . . . . . . . . . . . . . . . . . . . . . . . . . . . . . . . .</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(952)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560" w:type="dxa"/>
            <w:vAlign w:val="bottom"/>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.Netcashusedinoperatingactivities</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(17,308)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Cash flows from investing activities:</w:t>
            </w: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60" w:type="dxa"/>
            <w:vAlign w:val="bottom"/>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.Purchasesofpropertyandequipment</w:t>
            </w: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60" w:type="dxa"/>
            <w:vAlign w:val="bottom"/>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.Netcashusedininvestingactivities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75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Cash flows from financing activities:</w:t>
            </w: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9"/>
              </w:rPr>
              <w:t>Proceeds from issuance of convertible notes . . . . . . . . . . . . . . . . . . . . . . . . . . . . . . .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9"/>
              </w:rPr>
              <w:t>Proceeds from issuance of at-the-market shares, net . . . . . . . . . . . . . . . . . . . . . . . . . . . . . . .</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9"/>
              </w:rPr>
              <w:t>Proceeds from issuance of public offering shares, net . . . . . . . . . . . . . . . . . . . . . . . .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18,346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9"/>
              </w:rPr>
              <w:t>Proceeds from PIPE financing . . . . . . . . . . . . . . . . . . . . . . . . . . . . . . . . . . . . . . . . . . . . . . . .</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7560" w:type="dxa"/>
            <w:vAlign w:val="bottom"/>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.Netcashprovidedbyfinancingactivities</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20,305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560" w:type="dxa"/>
            <w:vAlign w:val="bottom"/>
          </w:tcPr>
          <w:p>
            <w:pPr>
              <w:jc w:val="right"/>
              <w:ind w:right="260"/>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 . . . . . . . . . . . . . . . .Netincrease(decrease)incash</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2,993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7"/>
              </w:rPr>
              <w:t>Cash and cash equivalent at beginning of period . . . . . . . . . . . . . . . . . . . . . . . . . . . . . . . . . . .</w:t>
            </w: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60" w:type="dxa"/>
            <w:vAlign w:val="bottom"/>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.Cashandcashequivalentatendofperiod</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3,006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6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Supplemental disclosure of cash flow information:</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Non-cash operating activities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9"/>
              </w:rPr>
              <w:t>Settlement of liability with common shares . . . . . . . . . . . . . . . . . . . . . . . . . . . . . . . . . . . . .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1"/>
        </w:trPr>
        <w:tc>
          <w:tcPr>
            <w:tcW w:w="756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Non-cash financing activities:</w:t>
            </w: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9"/>
              </w:rPr>
              <w:t>Cashless warrant exercises . . . . . . . . . . . . . . . . . . . . . . . . . . . . . . . . . . . . . . . . . . . . . . . . . . .</w:t>
            </w:r>
          </w:p>
        </w:tc>
        <w:tc>
          <w:tcPr>
            <w:tcW w:w="3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7,041</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800"/>
          </w:cols>
          <w:pgMar w:left="540" w:top="1345" w:right="540" w:bottom="0" w:gutter="0" w:footer="0" w:header="0"/>
          <w:type w:val="continuous"/>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AEON BIOPHARMA,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Note 1.</w:t>
        <w:tab/>
        <w:t>Organization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Description of Business</w:t>
      </w:r>
    </w:p>
    <w:p>
      <w:pPr>
        <w:spacing w:after="0" w:line="239" w:lineRule="exact"/>
        <w:rPr>
          <w:sz w:val="20"/>
          <w:szCs w:val="20"/>
          <w:color w:val="auto"/>
        </w:rPr>
      </w:pPr>
    </w:p>
    <w:p>
      <w:pPr>
        <w:ind w:right="220" w:firstLine="360"/>
        <w:spacing w:after="0" w:line="259" w:lineRule="auto"/>
        <w:rPr>
          <w:sz w:val="20"/>
          <w:szCs w:val="20"/>
          <w:color w:val="auto"/>
        </w:rPr>
      </w:pPr>
      <w:r>
        <w:rPr>
          <w:rFonts w:ascii="Times New Roman" w:cs="Times New Roman" w:eastAsia="Times New Roman" w:hAnsi="Times New Roman"/>
          <w:sz w:val="20"/>
          <w:szCs w:val="20"/>
          <w:color w:val="auto"/>
        </w:rPr>
        <w:t>AEON Biopharma, Inc. is a biopharmaceutical company advancing its proprietary botulinum toxin complex, ABP-450 (prabotulinumtoxinA) injection (“ABP-450”) as a biosimilar to Botox® (onabotulinumtoxinA) to achieve accelerated and full-label United States (“U.S.”) market entry for debilitating medical conditions. The Company is headquartered in Irvine, California.</w:t>
      </w:r>
    </w:p>
    <w:p>
      <w:pPr>
        <w:spacing w:after="0" w:line="186"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On December 12, 2022, AEON Biopharma Sub, Inc. (formerly known as AEON Biopharma, Inc.) (“Old AEON”) and Priveterra Merger Sub, Inc., a wholly owned subsidiary of Priveterra Acquisition Corp. (“Priveterra”), a special purpose acquisition company formed for the purpose of effecting a merger, capital stock exchange, asset acquisition, stock purchase, reorganization, or other similar business combination with one or more target businesses, entered into a Business Combination and Merger Agreement (the “Business Combination Agreement” or “BCA”) dated December 12, 2022 and amended April 27, 2023.</w:t>
      </w:r>
    </w:p>
    <w:p>
      <w:pPr>
        <w:spacing w:after="0" w:line="197"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On July 21, 2023 (the “Closing Date”), the parties consummated the transactions contemplated by the BCA (collectively referred to as the “Merger” or “Business Combination”) in connection with the closing of the Merger (the “Closing”). On the Closing Date, Old AEON merged with Priveterra Merger Sub, Inc., with Old AEON surviving the merger as a wholly owned subsidiary of the Company; and the Company changed its name from “Priveterra Acquisition Corp.” to “AEON Biopharma, Inc.”; and Old AEON changed its name to AEON Biopharma Sub, Inc. The post-Merger Company is referred to herein as “AEON,” or the “Company.”</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Company’s Class A common stock is trading on NYSE American under the symbol “AEON.”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Going Concern</w:t>
      </w:r>
    </w:p>
    <w:p>
      <w:pPr>
        <w:spacing w:after="0" w:line="240"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on the basis that assumes the Company will continue as a going concern. The Company has experienced recurring losses from operations and has a net capital deficiency and negative cash flows from operations since its inception. As of December 31, 2025, the Company reported cash and cash equivalents of $3.0 million and an accumulated deficit of $470.8 million. The Company expects to incur losses and use cash in its operations for the foreseeable future.</w:t>
      </w:r>
    </w:p>
    <w:p>
      <w:pPr>
        <w:spacing w:after="0" w:line="197"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The Company is seeking accelerated and full-label U.S. market entry by developing its ABP-450 as a biosimilar through submission of a BLA under Section 351(k), using AbbVie Inc.’s product Botox® as a proposed reference product for all of the indications for which Botox® is approved, other than the cosmetic uses for which the Company does not hold development or commercialization rights. The Company held an initial meeting with the FDA in the third quarter of 2024 during which it aligned with the FDA on next steps to develop a Botox® biosimilar. The Company commenced analytical studies in the fourth quarter of 2024 to prepare for a BPD Type 2a meeting with the FDA that was held on January 21, 2026. During the meeting, the FDA reviewed the Company’s proposed analytical similarity strategy under the 351(k) biosimilar pathway, and acknowledged the scientific challenges associated with characterizing a 900 kDa botulinum neurotoxin complex, provided constructive feedback on the Company’s proposed development approach and analytical assessment plan, and noted that the analytical methodologies appeared reasonable to support advancement of the program toward a comprehensive analytical similarity package. The Company believes this feedback provides a clear framework for the remaining analytical components of its biosimilar development program and plans to complete the majority of its analytical comparability program in 2026. The Company is currently planning to request a BPD Type 2b meeting in 2026 to discuss the next phase of the development program to support approval of ABP-450 as a biosimilar to Botox® across all approved therapeutic indications.</w:t>
      </w:r>
    </w:p>
    <w:p>
      <w:pPr>
        <w:spacing w:after="0" w:line="200"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On August 14, 2024, the Company entered into an “at-the-market” sales agreement with Leerink Partners LLC (“Leerink Partners”) relating to an at-the-market offering program (the “ATM”), pursuant to which the Company may offer and sell, from time to time at its sole discretion, shares of common stock, registered pursuant to a shelf registration statement on Form S-3 that the Securities and Exchange Commission (the “SEC”) declared effective on August 21, 2024, having aggregate gross proceeds of up to $50.0 million through Leerink Partners as sales agent. As of December 31, 2025, the Company issued 218,419 shares under the ATM</w:t>
      </w:r>
    </w:p>
    <w:p>
      <w:pPr>
        <w:sectPr>
          <w:pgSz w:w="11880" w:h="15480" w:orient="portrait"/>
          <w:cols w:equalWidth="0" w:num="1">
            <w:col w:w="10760"/>
          </w:cols>
          <w:pgMar w:left="540" w:top="1345"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760"/>
          </w:cols>
          <w:pgMar w:left="540" w:top="1345" w:right="580" w:bottom="0" w:gutter="0" w:footer="0" w:header="0"/>
          <w:type w:val="continuous"/>
        </w:sectPr>
      </w:pPr>
    </w:p>
    <w:bookmarkStart w:id="95" w:name="page96"/>
    <w:bookmarkEnd w:id="95"/>
    <w:p>
      <w:pPr>
        <w:ind w:right="60"/>
        <w:spacing w:after="0" w:line="278" w:lineRule="auto"/>
        <w:rPr>
          <w:sz w:val="20"/>
          <w:szCs w:val="20"/>
          <w:color w:val="auto"/>
        </w:rPr>
      </w:pPr>
      <w:r>
        <w:rPr>
          <w:rFonts w:ascii="Times New Roman" w:cs="Times New Roman" w:eastAsia="Times New Roman" w:hAnsi="Times New Roman"/>
          <w:sz w:val="20"/>
          <w:szCs w:val="20"/>
          <w:color w:val="auto"/>
        </w:rPr>
        <w:t>for net proceeds of $0.2 million and approximately $49.7 million of common stock remained available to be sold under the ATM. See Note 9 Common Stock for additional information.</w:t>
      </w:r>
    </w:p>
    <w:p>
      <w:pPr>
        <w:spacing w:after="0" w:line="168"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On January 6, 2025, the Company entered into the Underwriting Agreement with Aegis pursuant to which the Company agreed to sell and issue shares of common stock and certain Series A and Series B Warrants. The closing of the Offering occurred on January 7, 2025, and the Company received net proceeds of approximately $18.3 million from the Offering. See Note 3 Public Offering for additional information.</w:t>
      </w:r>
    </w:p>
    <w:p>
      <w:pPr>
        <w:spacing w:after="0" w:line="193"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On November 12, 2025, the Company entered into the Securities Purchase Agreement with certain investors whereby the Company issued and sold to the investors certain PIPE Shares, PIPE Pre-Funded Warrants, PIPE Warrants and True-up Warrants for total gross proceeds of $6.0 million. The Company received gross proceeds of $1.8 million and $4.2 million upon the First Closing on November 18, 2025 (the “First Closing”) and the Second Closing on January 27, 2026 (the “Second Closing”), respectively. See Note 4 Private Placement for additional information.</w:t>
      </w:r>
    </w:p>
    <w:p>
      <w:pPr>
        <w:spacing w:after="0" w:line="197" w:lineRule="exact"/>
        <w:rPr>
          <w:sz w:val="20"/>
          <w:szCs w:val="20"/>
          <w:color w:val="auto"/>
        </w:rPr>
      </w:pPr>
    </w:p>
    <w:p>
      <w:pPr>
        <w:ind w:right="40" w:firstLine="361"/>
        <w:spacing w:after="0" w:line="243" w:lineRule="auto"/>
        <w:rPr>
          <w:sz w:val="20"/>
          <w:szCs w:val="20"/>
          <w:color w:val="auto"/>
        </w:rPr>
      </w:pPr>
      <w:r>
        <w:rPr>
          <w:rFonts w:ascii="Times New Roman" w:cs="Times New Roman" w:eastAsia="Times New Roman" w:hAnsi="Times New Roman"/>
          <w:sz w:val="20"/>
          <w:szCs w:val="20"/>
          <w:color w:val="auto"/>
        </w:rPr>
        <w:t>On November 12, 2025, the Company entered into the Term Sheet with Daewoong relating to the Exchange of the Subscription Agreement with Daewoong relating to the Existing Notes of $5.0 million and $10.0 million in principal with maturity dates of March 2027 and April 2027, respectively. On December 15, 2025, the Company entered into the Exchange Agreement with Daewoong consistent with the terms of the Term Sheet pursuant to which the Existing Notes held by Daewoong would be exchanged for (i) newly issued shares of common stock of the Company equal to (x) the principal and accrued interest of the Existing Notes as of the closing of the Exchange less (y) the principal amount of the New Convertible Note, divided by $1.00, and then multiplied by 1.3 (and rounded down to the nearest whole share of common stock) and/or pre-funded warrants to purchase shares of common stock (the “Daewoong Pre-Funded Warrants”) in lieu of any shares of common stock that would result in Daewoong’s beneficial ownership of common stock exceeding 49.99% (the “Exchange Shares”), (ii) a new senior secured convertible note for $1.5 million (the “New Convertible Note”), and (iii) warrants to purchase up to 8 million shares of common stock at an exercise price of $1.09392 per share (the “Daewoong Warrant”). The Daewoong Warrants, which contain the same terms as the PIPE Warrants, may only be exercised for cash. The Daewoong Warrants are immediately exercisable after issuance and may be able to be exercised at any time until the five-year anniversary of the Second Closing. See Note 5 Daewoong Convertible Notes for additional information.</w:t>
      </w:r>
    </w:p>
    <w:p>
      <w:pPr>
        <w:spacing w:after="0" w:line="204" w:lineRule="exact"/>
        <w:rPr>
          <w:sz w:val="20"/>
          <w:szCs w:val="20"/>
          <w:color w:val="auto"/>
        </w:rPr>
      </w:pPr>
    </w:p>
    <w:p>
      <w:pPr>
        <w:ind w:right="140" w:firstLine="360"/>
        <w:spacing w:after="0" w:line="247" w:lineRule="auto"/>
        <w:rPr>
          <w:sz w:val="20"/>
          <w:szCs w:val="20"/>
          <w:color w:val="auto"/>
        </w:rPr>
      </w:pPr>
      <w:r>
        <w:rPr>
          <w:rFonts w:ascii="Times New Roman" w:cs="Times New Roman" w:eastAsia="Times New Roman" w:hAnsi="Times New Roman"/>
          <w:sz w:val="20"/>
          <w:szCs w:val="20"/>
          <w:color w:val="auto"/>
        </w:rPr>
        <w:t>The commencement of additional studies, preparation for the potential BPD meeting and any further development of ABP-450 would require additional funding in the form of equity financings or debt. There can be no assurance that such efforts will be successful or that, in the event that they are successful, the terms and conditions of such financing will be commercially acceptable. Furthermore, the use of equity as a source of financing would dilute existing shareholders. As a result of these conditions, management has concluded that there is substantial doubt about the Company’s ability to continue as a going concern and to meet its obligations as they become due within one year after the date that these consolidated financial statements are issued.</w:t>
      </w:r>
    </w:p>
    <w:p>
      <w:pPr>
        <w:spacing w:after="0" w:line="200" w:lineRule="exact"/>
        <w:rPr>
          <w:sz w:val="20"/>
          <w:szCs w:val="20"/>
          <w:color w:val="auto"/>
        </w:rPr>
      </w:pPr>
    </w:p>
    <w:p>
      <w:pPr>
        <w:ind w:right="140" w:firstLine="360"/>
        <w:spacing w:after="0" w:line="253" w:lineRule="auto"/>
        <w:rPr>
          <w:sz w:val="20"/>
          <w:szCs w:val="20"/>
          <w:color w:val="auto"/>
        </w:rPr>
      </w:pPr>
      <w:r>
        <w:rPr>
          <w:rFonts w:ascii="Times New Roman" w:cs="Times New Roman" w:eastAsia="Times New Roman" w:hAnsi="Times New Roman"/>
          <w:sz w:val="20"/>
          <w:szCs w:val="20"/>
          <w:color w:val="auto"/>
        </w:rPr>
        <w:t>The preparation of these consolidated financial statements does not include any adjustments that may result from the outcome of this uncertainty. This basis of accounting contemplates the recovery of the Company</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s assets and the satisfaction of</w:t>
      </w:r>
    </w:p>
    <w:p>
      <w:pPr>
        <w:spacing w:after="0" w:line="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the Company</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s liabilities and commitments in the normal course of business and does not include any adjustments to reflect the possible future effects of the recoverability and classification of recorded asset amounts or amounts and classification of liabilities that might be necessary should the Company be unable to continue as a going concern. If the Company is unable to obtain adequate capital, it could be forced to cease operations.</w:t>
      </w:r>
    </w:p>
    <w:p>
      <w:pPr>
        <w:spacing w:after="0" w:line="194" w:lineRule="exact"/>
        <w:rPr>
          <w:sz w:val="20"/>
          <w:szCs w:val="20"/>
          <w:color w:val="auto"/>
        </w:rPr>
      </w:pPr>
    </w:p>
    <w:p>
      <w:pPr>
        <w:ind w:right="100" w:firstLine="410"/>
        <w:spacing w:after="0" w:line="249" w:lineRule="auto"/>
        <w:rPr>
          <w:sz w:val="20"/>
          <w:szCs w:val="20"/>
          <w:color w:val="auto"/>
        </w:rPr>
      </w:pPr>
      <w:r>
        <w:rPr>
          <w:rFonts w:ascii="Times New Roman" w:cs="Times New Roman" w:eastAsia="Times New Roman" w:hAnsi="Times New Roman"/>
          <w:sz w:val="20"/>
          <w:szCs w:val="20"/>
          <w:color w:val="auto"/>
        </w:rPr>
        <w:t>The Company’s future operations are highly dependent on a combination of factors, including (1) the success of its research and development programs; (2) the timely and successful completion of any additional financings; (3) the development of competitive therapies by other biotechnology and pharmaceutical companies; (4) the Company’s ability to manage growth of the organization;</w:t>
      </w:r>
    </w:p>
    <w:p>
      <w:pPr>
        <w:spacing w:after="0" w:line="2" w:lineRule="exact"/>
        <w:rPr>
          <w:sz w:val="20"/>
          <w:szCs w:val="20"/>
          <w:color w:val="auto"/>
        </w:rPr>
      </w:pPr>
    </w:p>
    <w:p>
      <w:pPr>
        <w:ind w:right="1240"/>
        <w:spacing w:after="0" w:line="249" w:lineRule="auto"/>
        <w:tabs>
          <w:tab w:leader="none" w:pos="28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ability to protect its technology and products; and, ultimately (6) regulatory approval and successful commercialization and market acceptance of its product candidates.</w:t>
      </w:r>
    </w:p>
    <w:p>
      <w:pPr>
        <w:spacing w:after="0" w:line="19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Note 2.</w:t>
        <w:tab/>
        <w:t>Summary of Significant Accounting Policies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40" w:lineRule="exact"/>
        <w:rPr>
          <w:sz w:val="20"/>
          <w:szCs w:val="20"/>
          <w:color w:val="auto"/>
        </w:rPr>
      </w:pPr>
    </w:p>
    <w:p>
      <w:pPr>
        <w:ind w:right="560" w:firstLine="360"/>
        <w:spacing w:after="0" w:line="258"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generally accepted accounting principles in the United States of America (“U.S. GAAP”). The consolidated financial statements include the accounts of the Company and its controlled subsidiaries.</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780"/>
          </w:cols>
          <w:pgMar w:left="540" w:top="1349" w:right="56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39" w:lineRule="exact"/>
        <w:rPr>
          <w:sz w:val="20"/>
          <w:szCs w:val="20"/>
          <w:color w:val="auto"/>
        </w:rPr>
      </w:pPr>
    </w:p>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judgments and assumptions that affect the amounts reported in the financial statements and disclosures made in the accompanying notes. The Company’s most significant estimates relate to the research and development accruals, valuation of stock-based compensation, and the fair values of contingent consideration, warrant liabilities, convertible notes, and derivative liability, among others. Although the Company bases estimates on historical experience, knowledge of current events and actions it may undertake in the future, and on various other assumptions that are believed to be reasonable, the results of which form the basis for making judgments over the carrying values of assets and liabilities, this process may result in actual results differing materially from those estimated amounts used in the preparation of the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239" w:lineRule="exact"/>
        <w:rPr>
          <w:sz w:val="20"/>
          <w:szCs w:val="20"/>
          <w:color w:val="auto"/>
        </w:rPr>
      </w:pPr>
    </w:p>
    <w:p>
      <w:pPr>
        <w:ind w:right="20" w:firstLine="360"/>
        <w:spacing w:after="0" w:line="246" w:lineRule="auto"/>
        <w:rPr>
          <w:sz w:val="20"/>
          <w:szCs w:val="20"/>
          <w:color w:val="auto"/>
        </w:rPr>
      </w:pPr>
      <w:r>
        <w:rPr>
          <w:rFonts w:ascii="Times New Roman" w:cs="Times New Roman" w:eastAsia="Times New Roman" w:hAnsi="Times New Roman"/>
          <w:sz w:val="20"/>
          <w:szCs w:val="20"/>
          <w:color w:val="auto"/>
        </w:rPr>
        <w:t>The Company determined that it operates and manages its business as one operating segment, focused on the research and development of ABP-450. The Company’s chief operating decision maker (“CODM”) is the Company’s Chief Executive Officer, who reviews its consolidated operating results for the purpose of assessing liquidity needs, allocating resources and evaluating financial performance. Asset information, including monitoring of its cash and cash equivalents, provided to the CODM is consistent with those reported on the consolidated balance sheets. The key measure of the Company’s single segment profit and loss that the CODM uses to allocate resources and assess performance is the Company’s operating (loss) income as reported on the consolidated statement of operations and comprehensive (loss) income.</w:t>
      </w:r>
    </w:p>
    <w:p>
      <w:pPr>
        <w:spacing w:after="0" w:line="199" w:lineRule="exact"/>
        <w:rPr>
          <w:sz w:val="20"/>
          <w:szCs w:val="20"/>
          <w:color w:val="auto"/>
        </w:rPr>
      </w:pPr>
    </w:p>
    <w:p>
      <w:pPr>
        <w:ind w:right="40" w:firstLine="360"/>
        <w:spacing w:after="0" w:line="259" w:lineRule="auto"/>
        <w:rPr>
          <w:sz w:val="20"/>
          <w:szCs w:val="20"/>
          <w:color w:val="auto"/>
        </w:rPr>
      </w:pPr>
      <w:r>
        <w:rPr>
          <w:rFonts w:ascii="Times New Roman" w:cs="Times New Roman" w:eastAsia="Times New Roman" w:hAnsi="Times New Roman"/>
          <w:sz w:val="20"/>
          <w:szCs w:val="20"/>
          <w:color w:val="auto"/>
        </w:rPr>
        <w:t>The table below shows a reconciliation of the Company’s net (loss) income, including the significant expense categories regularly provided to and reviewed by the CODM, as computed under US GAAP to the Company’s total consolidated net (loss) income as reported in the consolidated statement of operations and comprehensive (loss) income: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7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4"/>
        </w:trPr>
        <w:tc>
          <w:tcPr>
            <w:tcW w:w="7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r>
      <w:tr>
        <w:trPr>
          <w:trHeight w:val="384"/>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Segment operating expenses: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7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Compensation and benefits . . . . . . . . . . . . . . . . . . . . . . . . . . . . . . . . . . . . . . . . . . . . . . . . . . . . . . .</w:t>
            </w: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9,153</w:t>
            </w:r>
          </w:p>
        </w:tc>
        <w:tc>
          <w:tcPr>
            <w:tcW w:w="20" w:type="dxa"/>
            <w:vAlign w:val="bottom"/>
          </w:tcPr>
          <w:p>
            <w:pPr>
              <w:spacing w:after="0"/>
              <w:rPr>
                <w:sz w:val="19"/>
                <w:szCs w:val="19"/>
                <w:color w:val="auto"/>
              </w:rPr>
            </w:pPr>
          </w:p>
        </w:tc>
      </w:tr>
      <w:tr>
        <w:trPr>
          <w:trHeight w:val="230"/>
        </w:trPr>
        <w:tc>
          <w:tcPr>
            <w:tcW w:w="7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Professional and legal fees . . . . . . . . . . . . . . . . . . . . . . . . . . . . . . . . . . . . . . . . . . . . . . . . . . . . . .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6,233</w:t>
            </w:r>
          </w:p>
        </w:tc>
        <w:tc>
          <w:tcPr>
            <w:tcW w:w="20" w:type="dxa"/>
            <w:vAlign w:val="bottom"/>
          </w:tcPr>
          <w:p>
            <w:pPr>
              <w:spacing w:after="0"/>
              <w:rPr>
                <w:sz w:val="20"/>
                <w:szCs w:val="20"/>
                <w:color w:val="auto"/>
              </w:rPr>
            </w:pPr>
          </w:p>
        </w:tc>
      </w:tr>
      <w:tr>
        <w:trPr>
          <w:trHeight w:val="230"/>
        </w:trPr>
        <w:tc>
          <w:tcPr>
            <w:tcW w:w="7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Office and travel . . . . . . . . . . . . . . . . . . . . . . . . . . . . . . . . . . . . . . . . . . . . . . . . . . . . . . . . . . . . . . .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1,533</w:t>
            </w:r>
          </w:p>
        </w:tc>
        <w:tc>
          <w:tcPr>
            <w:tcW w:w="20" w:type="dxa"/>
            <w:vAlign w:val="bottom"/>
          </w:tcPr>
          <w:p>
            <w:pPr>
              <w:spacing w:after="0"/>
              <w:rPr>
                <w:sz w:val="20"/>
                <w:szCs w:val="20"/>
                <w:color w:val="auto"/>
              </w:rPr>
            </w:pPr>
          </w:p>
        </w:tc>
      </w:tr>
      <w:tr>
        <w:trPr>
          <w:trHeight w:val="250"/>
        </w:trPr>
        <w:tc>
          <w:tcPr>
            <w:tcW w:w="7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Research and development . . . . . . . . . . . . . . . . . . . . . . . . . . . . . . . . . . . . . . . . . . . . . . . . . . . . . . .</w:t>
            </w: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10,905</w:t>
            </w:r>
          </w:p>
        </w:tc>
        <w:tc>
          <w:tcPr>
            <w:tcW w:w="20" w:type="dxa"/>
            <w:vAlign w:val="bottom"/>
          </w:tcPr>
          <w:p>
            <w:pPr>
              <w:spacing w:after="0"/>
              <w:rPr>
                <w:sz w:val="21"/>
                <w:szCs w:val="21"/>
                <w:color w:val="auto"/>
              </w:rPr>
            </w:pPr>
          </w:p>
        </w:tc>
      </w:tr>
      <w:tr>
        <w:trPr>
          <w:trHeight w:val="220"/>
        </w:trPr>
        <w:tc>
          <w:tcPr>
            <w:tcW w:w="788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 . . . . . . . . . . . . . .Totalselling,generalandadministrative,andresearchanddevelopment</w:t>
            </w: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16,302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27,824</w:t>
            </w:r>
          </w:p>
        </w:tc>
        <w:tc>
          <w:tcPr>
            <w:tcW w:w="20" w:type="dxa"/>
            <w:vAlign w:val="bottom"/>
          </w:tcPr>
          <w:p>
            <w:pPr>
              <w:spacing w:after="0"/>
              <w:rPr>
                <w:sz w:val="19"/>
                <w:szCs w:val="19"/>
                <w:color w:val="auto"/>
              </w:rPr>
            </w:pPr>
          </w:p>
        </w:tc>
      </w:tr>
      <w:tr>
        <w:trPr>
          <w:trHeight w:val="219"/>
        </w:trPr>
        <w:tc>
          <w:tcPr>
            <w:tcW w:w="7880" w:type="dxa"/>
            <w:vAlign w:val="bottom"/>
          </w:tcPr>
          <w:p>
            <w:pPr>
              <w:jc w:val="right"/>
              <w:ind w:right="200"/>
              <w:spacing w:after="0" w:line="219" w:lineRule="exact"/>
              <w:rPr>
                <w:sz w:val="20"/>
                <w:szCs w:val="20"/>
                <w:color w:val="auto"/>
              </w:rPr>
            </w:pPr>
            <w:r>
              <w:rPr>
                <w:rFonts w:ascii="Times New Roman" w:cs="Times New Roman" w:eastAsia="Times New Roman" w:hAnsi="Times New Roman"/>
                <w:sz w:val="20"/>
                <w:szCs w:val="20"/>
                <w:color w:val="auto"/>
              </w:rPr>
              <w:t>. . . . . . . . . . . . . . . . . . . . . . . . . . . . . . . . . . . . .Changeinfairvalueofcontingentconsideration</w:t>
            </w: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(3,499)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(100,809)</w:t>
            </w:r>
          </w:p>
        </w:tc>
        <w:tc>
          <w:tcPr>
            <w:tcW w:w="20" w:type="dxa"/>
            <w:vAlign w:val="bottom"/>
          </w:tcPr>
          <w:p>
            <w:pPr>
              <w:spacing w:after="0"/>
              <w:rPr>
                <w:sz w:val="19"/>
                <w:szCs w:val="19"/>
                <w:color w:val="auto"/>
              </w:rPr>
            </w:pPr>
          </w:p>
        </w:tc>
      </w:tr>
      <w:tr>
        <w:trPr>
          <w:trHeight w:val="220"/>
        </w:trPr>
        <w:tc>
          <w:tcPr>
            <w:tcW w:w="788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 .Totaloperatingcostsandexpenses</w:t>
            </w: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12,803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(72,985)</w:t>
            </w:r>
          </w:p>
        </w:tc>
        <w:tc>
          <w:tcPr>
            <w:tcW w:w="20" w:type="dxa"/>
            <w:vAlign w:val="bottom"/>
          </w:tcPr>
          <w:p>
            <w:pPr>
              <w:spacing w:after="0"/>
              <w:rPr>
                <w:sz w:val="19"/>
                <w:szCs w:val="19"/>
                <w:color w:val="auto"/>
              </w:rPr>
            </w:pPr>
          </w:p>
        </w:tc>
      </w:tr>
      <w:tr>
        <w:trPr>
          <w:trHeight w:val="201"/>
        </w:trPr>
        <w:tc>
          <w:tcPr>
            <w:tcW w:w="7880" w:type="dxa"/>
            <w:vAlign w:val="bottom"/>
          </w:tcPr>
          <w:p>
            <w:pPr>
              <w:jc w:val="right"/>
              <w:ind w:right="200"/>
              <w:spacing w:after="0" w:line="201"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.(Loss)incomefromoperations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(12,803)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72,985</w:t>
            </w:r>
          </w:p>
        </w:tc>
        <w:tc>
          <w:tcPr>
            <w:tcW w:w="20" w:type="dxa"/>
            <w:vAlign w:val="bottom"/>
          </w:tcPr>
          <w:p>
            <w:pPr>
              <w:spacing w:after="0"/>
              <w:rPr>
                <w:sz w:val="17"/>
                <w:szCs w:val="17"/>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Other segment items: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7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Change in fair value of convertible notes . . . . . . . . . . . . . . . . . . . . . . . . . . . . . . . . . . . . . . . . . . . .</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(22,911)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3,311</w:t>
            </w:r>
          </w:p>
        </w:tc>
        <w:tc>
          <w:tcPr>
            <w:tcW w:w="20" w:type="dxa"/>
            <w:vAlign w:val="bottom"/>
          </w:tcPr>
          <w:p>
            <w:pPr>
              <w:spacing w:after="0"/>
              <w:rPr>
                <w:sz w:val="19"/>
                <w:szCs w:val="19"/>
                <w:color w:val="auto"/>
              </w:rPr>
            </w:pPr>
          </w:p>
        </w:tc>
      </w:tr>
      <w:tr>
        <w:trPr>
          <w:trHeight w:val="230"/>
        </w:trPr>
        <w:tc>
          <w:tcPr>
            <w:tcW w:w="7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Change in fair value of warrants . . . . . . . . . . . . . . . . . . . . . . . . . . . . . . . . . . . . . . . . . . . . . . . . . .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84,934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(14,719)</w:t>
            </w:r>
          </w:p>
        </w:tc>
      </w:tr>
      <w:tr>
        <w:trPr>
          <w:trHeight w:val="230"/>
        </w:trPr>
        <w:tc>
          <w:tcPr>
            <w:tcW w:w="7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Loss on issuance of warrants . . . . . . . . . . . . . . . . . . . . . . . . . . . . . . . . . . . . . . . . . . . . . . . . . . . . .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(75,644)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7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Loss on embedded forward purchase agreements . . . . . . . . . . . . . . . . . . . . . . . . . . . . . . . . . . . . .</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(19,667)</w:t>
            </w:r>
          </w:p>
        </w:tc>
      </w:tr>
      <w:tr>
        <w:trPr>
          <w:trHeight w:val="230"/>
        </w:trPr>
        <w:tc>
          <w:tcPr>
            <w:tcW w:w="7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Loss on derivative liability . . . . . . . . . . . . . . . . . . . . . . . . . . . . . . . . . . . . . . . . . . . . . . . . . . . . . .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(13,088)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7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Other income, net . . . . . . . . . . . . . . . . . . . . . . . . . . . . . . . . . . . . . . . . . . . . . . . . . . . . . . . . . . . . . . .</w:t>
            </w: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20" w:type="dxa"/>
            <w:vAlign w:val="bottom"/>
          </w:tcPr>
          <w:p>
            <w:pPr>
              <w:spacing w:after="0"/>
              <w:rPr>
                <w:sz w:val="21"/>
                <w:szCs w:val="21"/>
                <w:color w:val="auto"/>
              </w:rPr>
            </w:pPr>
          </w:p>
        </w:tc>
      </w:tr>
      <w:tr>
        <w:trPr>
          <w:trHeight w:val="220"/>
        </w:trPr>
        <w:tc>
          <w:tcPr>
            <w:tcW w:w="788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 . . . . . .Totalothersegmentitems,net</w:t>
            </w: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(26,419)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(30,980)</w:t>
            </w:r>
          </w:p>
        </w:tc>
        <w:tc>
          <w:tcPr>
            <w:tcW w:w="20" w:type="dxa"/>
            <w:vAlign w:val="bottom"/>
          </w:tcPr>
          <w:p>
            <w:pPr>
              <w:spacing w:after="0"/>
              <w:rPr>
                <w:sz w:val="19"/>
                <w:szCs w:val="19"/>
                <w:color w:val="auto"/>
              </w:rPr>
            </w:pPr>
          </w:p>
        </w:tc>
      </w:tr>
      <w:tr>
        <w:trPr>
          <w:trHeight w:val="201"/>
        </w:trPr>
        <w:tc>
          <w:tcPr>
            <w:tcW w:w="7880" w:type="dxa"/>
            <w:vAlign w:val="bottom"/>
          </w:tcPr>
          <w:p>
            <w:pPr>
              <w:jc w:val="right"/>
              <w:ind w:right="200"/>
              <w:spacing w:after="0" w:line="201"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.(Loss)incomebeforetaxes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(39,222)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42,005</w:t>
            </w:r>
          </w:p>
        </w:tc>
        <w:tc>
          <w:tcPr>
            <w:tcW w:w="20" w:type="dxa"/>
            <w:vAlign w:val="bottom"/>
          </w:tcPr>
          <w:p>
            <w:pPr>
              <w:spacing w:after="0"/>
              <w:rPr>
                <w:sz w:val="17"/>
                <w:szCs w:val="17"/>
                <w:color w:val="auto"/>
              </w:rPr>
            </w:pPr>
          </w:p>
        </w:tc>
      </w:tr>
      <w:tr>
        <w:trPr>
          <w:trHeight w:val="250"/>
        </w:trPr>
        <w:tc>
          <w:tcPr>
            <w:tcW w:w="7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Income taxes . . . . . . . . . . . . . . . . . . . . . . . . . . . . . . . . . . . . . . . . . . . . . . . . . . . . . . . . . . . . . . . . . . .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88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.Segmentnet(loss)income</w:t>
            </w:r>
          </w:p>
        </w:tc>
        <w:tc>
          <w:tcPr>
            <w:tcW w:w="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(39,222)</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42,005</w:t>
            </w:r>
          </w:p>
        </w:tc>
        <w:tc>
          <w:tcPr>
            <w:tcW w:w="20" w:type="dxa"/>
            <w:vAlign w:val="bottom"/>
          </w:tcPr>
          <w:p>
            <w:pPr>
              <w:spacing w:after="0"/>
              <w:rPr>
                <w:sz w:val="20"/>
                <w:szCs w:val="20"/>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and Uncertainties</w:t>
      </w:r>
    </w:p>
    <w:p>
      <w:pPr>
        <w:spacing w:after="0" w:line="239" w:lineRule="exact"/>
        <w:rPr>
          <w:sz w:val="20"/>
          <w:szCs w:val="20"/>
          <w:color w:val="auto"/>
        </w:rPr>
      </w:pPr>
    </w:p>
    <w:p>
      <w:pPr>
        <w:ind w:right="260" w:firstLine="360"/>
        <w:spacing w:after="0" w:line="278" w:lineRule="auto"/>
        <w:rPr>
          <w:sz w:val="20"/>
          <w:szCs w:val="20"/>
          <w:color w:val="auto"/>
        </w:rPr>
      </w:pPr>
      <w:r>
        <w:rPr>
          <w:rFonts w:ascii="Times New Roman" w:cs="Times New Roman" w:eastAsia="Times New Roman" w:hAnsi="Times New Roman"/>
          <w:sz w:val="20"/>
          <w:szCs w:val="20"/>
          <w:color w:val="auto"/>
        </w:rPr>
        <w:t>The Company is subject to risks common to early -stage companies in the pharmaceutical industry including, but not limited to, dependency on the clinical and commercial success of its current and any future product candidates, ability to obtain regulatory</w:t>
      </w:r>
    </w:p>
    <w:p>
      <w:pPr>
        <w:sectPr>
          <w:pgSz w:w="11880" w:h="15480" w:orient="portrait"/>
          <w:cols w:equalWidth="0" w:num="1">
            <w:col w:w="10800"/>
          </w:cols>
          <w:pgMar w:left="540" w:top="135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800"/>
          </w:cols>
          <w:pgMar w:left="540" w:top="1351" w:right="540" w:bottom="0" w:gutter="0" w:footer="0" w:header="0"/>
          <w:type w:val="continuous"/>
        </w:sectPr>
      </w:pPr>
    </w:p>
    <w:bookmarkStart w:id="97" w:name="page98"/>
    <w:bookmarkEnd w:id="97"/>
    <w:p>
      <w:pPr>
        <w:ind w:right="60"/>
        <w:spacing w:after="0" w:line="278" w:lineRule="auto"/>
        <w:rPr>
          <w:sz w:val="20"/>
          <w:szCs w:val="20"/>
          <w:color w:val="auto"/>
        </w:rPr>
      </w:pPr>
      <w:r>
        <w:rPr>
          <w:rFonts w:ascii="Times New Roman" w:cs="Times New Roman" w:eastAsia="Times New Roman" w:hAnsi="Times New Roman"/>
          <w:sz w:val="20"/>
          <w:szCs w:val="20"/>
          <w:color w:val="auto"/>
        </w:rPr>
        <w:t>approval of its current and any future product candidates, the need for substantial additional financing to achieve its goals, uncertainty of broad adoption of its approved products, if any, by physicians and patients and significant competition.</w:t>
      </w:r>
    </w:p>
    <w:p>
      <w:pPr>
        <w:spacing w:after="0" w:line="168"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The Company relies on Daewoong, a South Korean pharmaceutical manufacturer, as an exclusive and sole supplier to manufacture the Company’s source material for product candidates. Any termination or loss of significant rights, including exclusivity, under the Company’s license and supply agreement with Daewoong (the “Daewoong Agreement”) would materially and adversely affect the Company’s commercialization of its products. See Note 7 Commitments and Contingencies for a discussion of the Daewoong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240"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Property and equipment are carried at cost less accumulated depreciation and amortization. The cost of property and equipment is depreciated over the estimated useful lives of the respective assets. The Company’s furniture and fixtures are depreciated on a straight- line basis over a period of seven years. Equipment is depreciated over a useful life of five years. Leasehold improvements are amortized over the lesser of the estimated useful life of the asset or the related lease term. Property and equipment, net, as of December 31, 2025 and 2024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940" w:type="dxa"/>
            <w:vAlign w:val="bottom"/>
            <w:vMerge w:val="restart"/>
          </w:tcPr>
          <w:p>
            <w:pPr>
              <w:jc w:val="right"/>
              <w:ind w:right="4140"/>
              <w:spacing w:after="0"/>
              <w:rPr>
                <w:sz w:val="20"/>
                <w:szCs w:val="20"/>
                <w:color w:val="auto"/>
              </w:rPr>
            </w:pPr>
            <w:r>
              <w:rPr>
                <w:rFonts w:ascii="Times New Roman" w:cs="Times New Roman" w:eastAsia="Times New Roman" w:hAnsi="Times New Roman"/>
                <w:sz w:val="20"/>
                <w:szCs w:val="20"/>
                <w:color w:val="auto"/>
              </w:rPr>
              <w:t>Furniture and fixtures</w:t>
            </w: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4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w:t>
            </w:r>
          </w:p>
        </w:tc>
        <w:tc>
          <w:tcPr>
            <w:tcW w:w="20" w:type="dxa"/>
            <w:vAlign w:val="bottom"/>
          </w:tcPr>
          <w:p>
            <w:pPr>
              <w:spacing w:after="0"/>
              <w:rPr>
                <w:sz w:val="17"/>
                <w:szCs w:val="17"/>
                <w:color w:val="auto"/>
              </w:rPr>
            </w:pPr>
          </w:p>
        </w:tc>
        <w:tc>
          <w:tcPr>
            <w:tcW w:w="1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199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3"/>
          </w:tcPr>
          <w:p>
            <w:pPr>
              <w:jc w:val="right"/>
              <w:ind w:right="57"/>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Equipment . . . . . . . . . . . . . . . . . . . . . . . . . . . . . . . . . . . . . . . . . . .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9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Leasehold improvements . . . . . . . . . . . . . . . . . . . . . . . . . . . . . . . . . . . . . .</w:t>
            </w: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940" w:type="dxa"/>
            <w:vAlign w:val="bottom"/>
          </w:tcPr>
          <w:p>
            <w:pPr>
              <w:jc w:val="right"/>
              <w:ind w:right="220"/>
              <w:spacing w:after="0" w:line="200" w:lineRule="exact"/>
              <w:rPr>
                <w:sz w:val="20"/>
                <w:szCs w:val="20"/>
                <w:color w:val="auto"/>
              </w:rPr>
            </w:pPr>
            <w:r>
              <w:rPr>
                <w:rFonts w:ascii="Times New Roman" w:cs="Times New Roman" w:eastAsia="Times New Roman" w:hAnsi="Times New Roman"/>
                <w:sz w:val="20"/>
                <w:szCs w:val="20"/>
                <w:color w:val="auto"/>
              </w:rPr>
              <w:t>. . . . . . . . . . . . . . . . . . . . . . . . . . . . . . . . . . . . . .Propertyandequipment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506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9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Accumulated depreciation . . . . . . . . . . . . . . . . . . . . . . . . . . . . . . . . . . . .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(267)</w:t>
            </w:r>
          </w:p>
        </w:tc>
        <w:tc>
          <w:tcPr>
            <w:tcW w:w="0" w:type="dxa"/>
            <w:vAlign w:val="bottom"/>
          </w:tcPr>
          <w:p>
            <w:pPr>
              <w:spacing w:after="0"/>
              <w:rPr>
                <w:sz w:val="1"/>
                <w:szCs w:val="1"/>
                <w:color w:val="auto"/>
              </w:rPr>
            </w:pPr>
          </w:p>
        </w:tc>
      </w:tr>
      <w:tr>
        <w:trPr>
          <w:trHeight w:val="230"/>
        </w:trPr>
        <w:tc>
          <w:tcPr>
            <w:tcW w:w="694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.Propertyandequipment,net</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gridSpan w:val="3"/>
          </w:tcPr>
          <w:p>
            <w:pPr>
              <w:jc w:val="right"/>
              <w:ind w:right="57"/>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7"/>
        </w:trPr>
        <w:tc>
          <w:tcPr>
            <w:tcW w:w="6940" w:type="dxa"/>
            <w:vAlign w:val="bottom"/>
          </w:tcPr>
          <w:p>
            <w:pPr>
              <w:jc w:val="right"/>
              <w:ind w:right="4800"/>
              <w:spacing w:after="0"/>
              <w:rPr>
                <w:sz w:val="20"/>
                <w:szCs w:val="20"/>
                <w:color w:val="auto"/>
              </w:rPr>
            </w:pPr>
            <w:r>
              <w:rPr>
                <w:rFonts w:ascii="Times New Roman" w:cs="Times New Roman" w:eastAsia="Times New Roman" w:hAnsi="Times New Roman"/>
                <w:sz w:val="20"/>
                <w:szCs w:val="20"/>
                <w:b w:val="1"/>
                <w:bCs w:val="1"/>
                <w:i w:val="1"/>
                <w:iCs w:val="1"/>
                <w:color w:val="auto"/>
                <w:w w:val="98"/>
              </w:rPr>
              <w:t>Other Accrued Expenses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6940" w:type="dxa"/>
            <w:vAlign w:val="bottom"/>
          </w:tcPr>
          <w:p>
            <w:pPr>
              <w:jc w:val="right"/>
              <w:ind w:right="2020"/>
              <w:spacing w:after="0"/>
              <w:rPr>
                <w:sz w:val="20"/>
                <w:szCs w:val="20"/>
                <w:color w:val="auto"/>
              </w:rPr>
            </w:pPr>
            <w:r>
              <w:rPr>
                <w:rFonts w:ascii="Times New Roman" w:cs="Times New Roman" w:eastAsia="Times New Roman" w:hAnsi="Times New Roman"/>
                <w:sz w:val="20"/>
                <w:szCs w:val="20"/>
                <w:color w:val="auto"/>
              </w:rPr>
              <w:t>Other accrued expenses were as follows (in thousands):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6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940" w:type="dxa"/>
            <w:vAlign w:val="bottom"/>
            <w:vMerge w:val="restart"/>
          </w:tcPr>
          <w:p>
            <w:pPr>
              <w:jc w:val="right"/>
              <w:ind w:right="4800"/>
              <w:spacing w:after="0"/>
              <w:rPr>
                <w:sz w:val="20"/>
                <w:szCs w:val="20"/>
                <w:color w:val="auto"/>
              </w:rPr>
            </w:pPr>
            <w:r>
              <w:rPr>
                <w:rFonts w:ascii="Times New Roman" w:cs="Times New Roman" w:eastAsia="Times New Roman" w:hAnsi="Times New Roman"/>
                <w:sz w:val="20"/>
                <w:szCs w:val="20"/>
                <w:color w:val="auto"/>
              </w:rPr>
              <w:t>Legal expenses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40" w:type="dxa"/>
            <w:vAlign w:val="bottom"/>
            <w:vMerge w:val="continue"/>
          </w:tcPr>
          <w:p>
            <w:pPr>
              <w:jc w:val="right"/>
              <w:ind w:right="3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w:t>
            </w:r>
          </w:p>
        </w:tc>
        <w:tc>
          <w:tcPr>
            <w:tcW w:w="40" w:type="dxa"/>
            <w:vAlign w:val="bottom"/>
            <w:gridSpan w:val="2"/>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20"/>
                <w:szCs w:val="20"/>
                <w:color w:val="auto"/>
              </w:rPr>
              <w:t>244</w:t>
            </w:r>
          </w:p>
        </w:tc>
        <w:tc>
          <w:tcPr>
            <w:tcW w:w="8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20"/>
                <w:szCs w:val="20"/>
                <w:color w:val="auto"/>
              </w:rPr>
              <w:t>2,455</w:t>
            </w:r>
          </w:p>
        </w:tc>
        <w:tc>
          <w:tcPr>
            <w:tcW w:w="0" w:type="dxa"/>
            <w:vAlign w:val="bottom"/>
          </w:tcPr>
          <w:p>
            <w:pPr>
              <w:spacing w:after="0"/>
              <w:rPr>
                <w:sz w:val="1"/>
                <w:szCs w:val="1"/>
                <w:color w:val="auto"/>
              </w:rPr>
            </w:pPr>
          </w:p>
        </w:tc>
      </w:tr>
      <w:tr>
        <w:trPr>
          <w:trHeight w:val="229"/>
        </w:trPr>
        <w:tc>
          <w:tcPr>
            <w:tcW w:w="694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Excise tax liability . . . . . . . . . . . . . . . . . . . . . . . . . . . . . . . . . . . . . . . . . . .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569</w:t>
            </w:r>
          </w:p>
        </w:tc>
        <w:tc>
          <w:tcPr>
            <w:tcW w:w="0" w:type="dxa"/>
            <w:vAlign w:val="bottom"/>
          </w:tcPr>
          <w:p>
            <w:pPr>
              <w:spacing w:after="0"/>
              <w:rPr>
                <w:sz w:val="1"/>
                <w:szCs w:val="1"/>
                <w:color w:val="auto"/>
              </w:rPr>
            </w:pPr>
          </w:p>
        </w:tc>
      </w:tr>
      <w:tr>
        <w:trPr>
          <w:trHeight w:val="230"/>
        </w:trPr>
        <w:tc>
          <w:tcPr>
            <w:tcW w:w="6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Operating lease liability - short term portion . . . . . . . . . . . . . . . .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252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30"/>
        </w:trPr>
        <w:tc>
          <w:tcPr>
            <w:tcW w:w="694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Daewoong vial usage. . . . . . . . . . . . . . . . . . . . . . . . . . . . . . . . . . .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694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Remaining other accrued expenses . . . . . . . . . . . . . . . . . . . . . . . . . . . . . .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364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455</w:t>
            </w:r>
          </w:p>
        </w:tc>
        <w:tc>
          <w:tcPr>
            <w:tcW w:w="0" w:type="dxa"/>
            <w:vAlign w:val="bottom"/>
          </w:tcPr>
          <w:p>
            <w:pPr>
              <w:spacing w:after="0"/>
              <w:rPr>
                <w:sz w:val="1"/>
                <w:szCs w:val="1"/>
                <w:color w:val="auto"/>
              </w:rPr>
            </w:pPr>
          </w:p>
        </w:tc>
      </w:tr>
      <w:tr>
        <w:trPr>
          <w:trHeight w:val="229"/>
        </w:trPr>
        <w:tc>
          <w:tcPr>
            <w:tcW w:w="6940" w:type="dxa"/>
            <w:vAlign w:val="bottom"/>
          </w:tcPr>
          <w:p>
            <w:pPr>
              <w:jc w:val="right"/>
              <w:ind w:right="32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.Totalotheraccruedexpenses</w:t>
            </w:r>
          </w:p>
        </w:tc>
        <w:tc>
          <w:tcPr>
            <w:tcW w:w="40" w:type="dxa"/>
            <w:vAlign w:val="bottom"/>
            <w:tcBorders>
              <w:bottom w:val="single" w:sz="8" w:color="auto"/>
            </w:tcBorders>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1,657</w:t>
            </w:r>
          </w:p>
        </w:tc>
        <w:tc>
          <w:tcPr>
            <w:tcW w:w="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3,600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Notes</w:t>
      </w:r>
    </w:p>
    <w:p>
      <w:pPr>
        <w:spacing w:after="0" w:line="240" w:lineRule="exact"/>
        <w:rPr>
          <w:sz w:val="20"/>
          <w:szCs w:val="20"/>
          <w:color w:val="auto"/>
        </w:rPr>
      </w:pPr>
    </w:p>
    <w:p>
      <w:pPr>
        <w:jc w:val="both"/>
        <w:ind w:right="180" w:firstLine="360"/>
        <w:spacing w:after="0" w:line="252" w:lineRule="auto"/>
        <w:rPr>
          <w:sz w:val="20"/>
          <w:szCs w:val="20"/>
          <w:color w:val="auto"/>
        </w:rPr>
      </w:pPr>
      <w:r>
        <w:rPr>
          <w:rFonts w:ascii="Times New Roman" w:cs="Times New Roman" w:eastAsia="Times New Roman" w:hAnsi="Times New Roman"/>
          <w:sz w:val="20"/>
          <w:szCs w:val="20"/>
          <w:color w:val="auto"/>
        </w:rPr>
        <w:t>The Company elected to account for its convertible promissory notes at fair value at inception and at each subsequent reporting date. Subsequent changes in fair value are recorded as a component of non-operating (loss) income in the consolidated statements of operations or as a component of other comprehensive (loss) income for changes related to instrument-specific credit risk. As a result of electing the fair value option, direct costs and fees related to the convertible promissory notes are expensed as incurred.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w:t>
      </w:r>
    </w:p>
    <w:p>
      <w:pPr>
        <w:spacing w:after="0" w:line="239" w:lineRule="exact"/>
        <w:rPr>
          <w:sz w:val="20"/>
          <w:szCs w:val="20"/>
          <w:color w:val="auto"/>
        </w:rPr>
      </w:pPr>
    </w:p>
    <w:p>
      <w:pPr>
        <w:ind w:right="80" w:firstLine="360"/>
        <w:spacing w:after="0" w:line="247" w:lineRule="auto"/>
        <w:rPr>
          <w:sz w:val="20"/>
          <w:szCs w:val="20"/>
          <w:color w:val="auto"/>
        </w:rPr>
      </w:pPr>
      <w:r>
        <w:rPr>
          <w:rFonts w:ascii="Times New Roman" w:cs="Times New Roman" w:eastAsia="Times New Roman" w:hAnsi="Times New Roman"/>
          <w:sz w:val="20"/>
          <w:szCs w:val="20"/>
          <w:color w:val="auto"/>
        </w:rPr>
        <w:t>The Company accounts for its contingent consideration as either equity-classified or liability-classified instruments based on an assessment of the contingent consideration specific terms (as further defined in Note 7) and applicable authoritative guidance in ASC 480, Distinguishing Liabilities from Equity (“ASC 480”) and ASC 815, Derivatives and Hedging (“ASC 815”). Based on the appropriate guidance, the Company determined that the contingent consideration would be classified as a liability on the consolidated balance sheets and remeasured at each reporting period with changes to fair value recorded to the consolidated statements of operations and comprehensive (loss) income.</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780"/>
          </w:cols>
          <w:pgMar w:left="540" w:top="1349" w:right="56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Liability</w:t>
      </w:r>
    </w:p>
    <w:p>
      <w:pPr>
        <w:spacing w:after="0" w:line="239" w:lineRule="exact"/>
        <w:rPr>
          <w:sz w:val="20"/>
          <w:szCs w:val="20"/>
          <w:color w:val="auto"/>
        </w:rPr>
      </w:pPr>
    </w:p>
    <w:p>
      <w:pPr>
        <w:ind w:firstLine="361"/>
        <w:spacing w:after="0" w:line="242" w:lineRule="auto"/>
        <w:rPr>
          <w:sz w:val="20"/>
          <w:szCs w:val="20"/>
          <w:color w:val="auto"/>
        </w:rPr>
      </w:pPr>
      <w:r>
        <w:rPr>
          <w:rFonts w:ascii="Times New Roman" w:cs="Times New Roman" w:eastAsia="Times New Roman" w:hAnsi="Times New Roman"/>
          <w:sz w:val="20"/>
          <w:szCs w:val="20"/>
          <w:color w:val="auto"/>
        </w:rPr>
        <w:t>The Company accounts for its derivative liabilities as either equity-classified or liability-classified instruments based on an assessment of the specific terms and applicable authoritative guidance in ASC 480 and ASC 815. The Company identified that the First Closing of the PIPE contained pre-funded warrants, a tranche right obligation and a True-Up Warrant obligation, and the Second Closing contained pre-funded warrants, PIPE Warrants and True-Up Warrants. The pre-funded warrants and True-Up Warrants were determined to be equity classified under ASC 815 upon their issuance. The PIPE Warrants and the tranche right obligation (which encompasses the obligation to issue pre-funded warrants, PIPE Warrants, and the True-Up Warrants as of the Second Closing) were determined to not be indexed to the Company’s own stock under ASC 815, and as such are classified as liabilities. Accordingly, for the First Closing, the Company allocated the proceeds from the PIPE to the tranche right obligation at fair value. As the fair value of the tranche right obligation exceeded the proceeds received, the Company recognized a loss of $10.6 million as of the First Closing. The tranche right obligation was valued based on the excess of the fair value of the pre-funded warrants, PIPE Warrants, and True-Up Warrants to be issued as of the Second Closing over the proceeds to be received in the Second Closing. For the Second Closing, the Company will first allocate the proceeds to the PIPE Warrants at fair value, and any residual value will be allocated between the pre- funded Warrants and the True-Up Warrants based on relative fair value. The PIPE Warrants will be initially measured at fair value using a Black-Scholes calculation and recorded as a liability on the issuance date on the consolidated balance sheets, and remeasured at each reporting period with changes to fair value recorded to the consolidated statements of operations and comprehensive (loss) income. The valuation is subject to inputs and assumptions that have variability, including stock price, risk-free rate and volatility. As stock price, risk-free rate and/or volatility increases or decreases, this may result in an increase or decrease, respectively, in the liability.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w:t>
      </w:r>
    </w:p>
    <w:p>
      <w:pPr>
        <w:spacing w:after="0" w:line="239" w:lineRule="exact"/>
        <w:rPr>
          <w:sz w:val="20"/>
          <w:szCs w:val="20"/>
          <w:color w:val="auto"/>
        </w:rPr>
      </w:pPr>
    </w:p>
    <w:p>
      <w:pPr>
        <w:ind w:right="40" w:firstLine="360"/>
        <w:spacing w:after="0" w:line="243" w:lineRule="auto"/>
        <w:rPr>
          <w:sz w:val="20"/>
          <w:szCs w:val="20"/>
          <w:color w:val="auto"/>
        </w:rPr>
      </w:pPr>
      <w:r>
        <w:rPr>
          <w:rFonts w:ascii="Times New Roman" w:cs="Times New Roman" w:eastAsia="Times New Roman" w:hAnsi="Times New Roman"/>
          <w:sz w:val="20"/>
          <w:szCs w:val="20"/>
          <w:color w:val="auto"/>
        </w:rPr>
        <w:t>The Company accounts for warrants as either equity-classified or liability-classified instruments based on an assessment of the warrant’s specific terms and applicable authoritative guidance in ASC 480 and ASC 815. The assessment considers whether the warrants are freestanding financial instruments and meet all of the requirements for equity classification, including whether the warrants are indexed to the Company’s own shares of common stock,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remeasured at each balance sheet date thereafter until settlement. Changes in the estimated fair value of the warrants are recognized in the Company’s consolidated statements of operations and comprehensive (loss) income. The valuation is subject to inputs and assumptions that have variability, including stock price, risk free rate and volatility. As the stock price, risk free rate and/or volatility increases or decreases, this may result in an increase or decrease, respectively, in the liability.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40" w:lineRule="exact"/>
        <w:rPr>
          <w:sz w:val="20"/>
          <w:szCs w:val="20"/>
          <w:color w:val="auto"/>
        </w:rPr>
      </w:pPr>
    </w:p>
    <w:p>
      <w:pPr>
        <w:ind w:right="80" w:firstLine="360"/>
        <w:spacing w:after="0" w:line="252" w:lineRule="auto"/>
        <w:rPr>
          <w:sz w:val="20"/>
          <w:szCs w:val="20"/>
          <w:color w:val="auto"/>
        </w:rPr>
      </w:pPr>
      <w:r>
        <w:rPr>
          <w:rFonts w:ascii="Times New Roman" w:cs="Times New Roman" w:eastAsia="Times New Roman" w:hAnsi="Times New Roman"/>
          <w:sz w:val="20"/>
          <w:szCs w:val="20"/>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93" w:lineRule="exact"/>
        <w:rPr>
          <w:sz w:val="20"/>
          <w:szCs w:val="20"/>
          <w:color w:val="auto"/>
        </w:rPr>
      </w:pPr>
    </w:p>
    <w:p>
      <w:pPr>
        <w:ind w:right="40" w:firstLine="360"/>
        <w:spacing w:after="0" w:line="278" w:lineRule="auto"/>
        <w:rPr>
          <w:sz w:val="20"/>
          <w:szCs w:val="20"/>
          <w:color w:val="auto"/>
        </w:rPr>
      </w:pPr>
      <w:r>
        <w:rPr>
          <w:rFonts w:ascii="Times New Roman" w:cs="Times New Roman" w:eastAsia="Times New Roman" w:hAnsi="Times New Roman"/>
          <w:sz w:val="20"/>
          <w:szCs w:val="20"/>
          <w:color w:val="auto"/>
        </w:rPr>
        <w:t>Fair value measurements are based on a three-tiered valuation hierarchy, which is classified and disclosed by the Company in one of the three categories as follows:</w:t>
      </w:r>
    </w:p>
    <w:p>
      <w:pPr>
        <w:spacing w:after="0" w:line="182" w:lineRule="exact"/>
        <w:rPr>
          <w:sz w:val="20"/>
          <w:szCs w:val="20"/>
          <w:color w:val="auto"/>
        </w:rPr>
      </w:pPr>
    </w:p>
    <w:p>
      <w:pPr>
        <w:ind w:left="720" w:right="140" w:hanging="360"/>
        <w:spacing w:after="0" w:line="262" w:lineRule="auto"/>
        <w:tabs>
          <w:tab w:leader="none" w:pos="72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Level 1 — Unadjusted quoted prices in active markets that are accessible at the measurement date for identical, unrestricted assets or liabilities;</w:t>
      </w:r>
    </w:p>
    <w:p>
      <w:pPr>
        <w:spacing w:after="0" w:line="195" w:lineRule="exact"/>
        <w:rPr>
          <w:rFonts w:ascii="Symbol" w:cs="Symbol" w:eastAsia="Symbol" w:hAnsi="Symbol"/>
          <w:sz w:val="20"/>
          <w:szCs w:val="20"/>
          <w:color w:val="auto"/>
        </w:rPr>
      </w:pPr>
    </w:p>
    <w:p>
      <w:pPr>
        <w:jc w:val="both"/>
        <w:ind w:left="720" w:right="100" w:hanging="360"/>
        <w:spacing w:after="0" w:line="270" w:lineRule="auto"/>
        <w:tabs>
          <w:tab w:leader="none" w:pos="720" w:val="left"/>
        </w:tabs>
        <w:numPr>
          <w:ilvl w:val="0"/>
          <w:numId w:val="49"/>
        </w:numPr>
        <w:rPr>
          <w:rFonts w:ascii="Symbol" w:cs="Symbol" w:eastAsia="Symbol" w:hAnsi="Symbol"/>
          <w:sz w:val="19"/>
          <w:szCs w:val="19"/>
          <w:color w:val="auto"/>
        </w:rPr>
      </w:pPr>
      <w:r>
        <w:rPr>
          <w:rFonts w:ascii="Times New Roman" w:cs="Times New Roman" w:eastAsia="Times New Roman" w:hAnsi="Times New Roman"/>
          <w:sz w:val="19"/>
          <w:szCs w:val="19"/>
          <w:color w:val="auto"/>
        </w:rPr>
        <w:t>Level 2 — Inputs other than Level 1 that are observable, either directly or indirectly, such as quoted prices for similar assets or liabilities in active markets; quoted prices in markets that are not active; or other inputs that are observable, either directly or indirectly, or can be corroborated by observable market data for substantially the full term of the asset or liability; and</w:t>
      </w:r>
    </w:p>
    <w:p>
      <w:pPr>
        <w:spacing w:after="0" w:line="191" w:lineRule="exact"/>
        <w:rPr>
          <w:rFonts w:ascii="Symbol" w:cs="Symbol" w:eastAsia="Symbol" w:hAnsi="Symbol"/>
          <w:sz w:val="19"/>
          <w:szCs w:val="19"/>
          <w:color w:val="auto"/>
        </w:rPr>
      </w:pPr>
    </w:p>
    <w:p>
      <w:pPr>
        <w:ind w:left="720" w:right="260" w:hanging="360"/>
        <w:spacing w:after="0" w:line="262" w:lineRule="auto"/>
        <w:tabs>
          <w:tab w:leader="none" w:pos="72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Level 3 — Prices or valuation techniques that require unobservable inputs that are supported by little or no market activity and that are significant to the fair value of the assets or liabilities.</w:t>
      </w:r>
    </w:p>
    <w:p>
      <w:pPr>
        <w:sectPr>
          <w:pgSz w:w="11880" w:h="15480" w:orient="portrait"/>
          <w:cols w:equalWidth="0" w:num="1">
            <w:col w:w="10780"/>
          </w:cols>
          <w:pgMar w:left="540" w:top="1351" w:right="56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780"/>
          </w:cols>
          <w:pgMar w:left="540" w:top="1351" w:right="560" w:bottom="0" w:gutter="0" w:footer="0" w:header="0"/>
          <w:type w:val="continuous"/>
        </w:sectPr>
      </w:pPr>
    </w:p>
    <w:bookmarkStart w:id="99" w:name="page100"/>
    <w:bookmarkEnd w:id="99"/>
    <w:p>
      <w:pPr>
        <w:ind w:right="780" w:firstLine="360"/>
        <w:spacing w:after="0" w:line="278" w:lineRule="auto"/>
        <w:rPr>
          <w:sz w:val="20"/>
          <w:szCs w:val="20"/>
          <w:color w:val="auto"/>
        </w:rPr>
      </w:pPr>
      <w:r>
        <w:rPr>
          <w:rFonts w:ascii="Times New Roman" w:cs="Times New Roman" w:eastAsia="Times New Roman" w:hAnsi="Times New Roman"/>
          <w:sz w:val="20"/>
          <w:szCs w:val="20"/>
          <w:color w:val="auto"/>
        </w:rPr>
        <w:t>The categorization of a financial instrument within the valuation hierarchy is based upon the lowest level of input that is significant to the fair value measurement.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39" w:lineRule="exact"/>
        <w:rPr>
          <w:sz w:val="20"/>
          <w:szCs w:val="20"/>
          <w:color w:val="auto"/>
        </w:rPr>
      </w:pPr>
    </w:p>
    <w:p>
      <w:pPr>
        <w:ind w:right="180" w:firstLine="361"/>
        <w:spacing w:after="0" w:line="246" w:lineRule="auto"/>
        <w:rPr>
          <w:sz w:val="20"/>
          <w:szCs w:val="20"/>
          <w:color w:val="auto"/>
        </w:rPr>
      </w:pPr>
      <w:r>
        <w:rPr>
          <w:rFonts w:ascii="Times New Roman" w:cs="Times New Roman" w:eastAsia="Times New Roman" w:hAnsi="Times New Roman"/>
          <w:sz w:val="20"/>
          <w:szCs w:val="20"/>
          <w:color w:val="auto"/>
        </w:rPr>
        <w:t>The Company determines whether a contract is, or contains, a lease at inception. Right-of-use (“ROU”) assets represent the Company’s right to use an underlying asset during the lease term, and lease liabilities represent the Company’s obligation to make lease payments arising from the lease. ROU assets and lease liabilities are recognized at lease commencement based upon the estimated present value of unpaid lease payments over the lease term using the Company’s incremental borrowing rate applicable to the underlying asset unless the implicit rate is readily determinable. The Company determines the lease term as the noncancellable period of the lease, and may include options to extend or terminate the lease when it is reasonably certain that the Company will exercise that option. Leases with a term of 12 months or less are not recognized on the balance sheets.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39"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color w:val="auto"/>
        </w:rPr>
        <w:t>Research and development costs are expensed as incurred. Research and development expenses consist primarily of costs associated with clinical studies including clinical trial design, clinical site reimbursement, data management, travel expenses and the cost of products used for clinical trials and internal and external costs associated with the Company’s regulatory compliance and quality assurance functions, including the costs of outside consultants and contractors that assist in the process of submitting and maintaining regulatory filings, and overhead costs. Additionally, research and development expenses include employee compensation, including stock-based compensation, supplies, consulting, prototyping, testing, materials, travel expenses and an allocation of facility overhead expenses. Costs incurred in obtaining technology licenses are charged to acquired in-process research and development (“IPR&amp;D”) if the technology licensed has not reached technological feasibility and has no alternative future use.</w:t>
      </w:r>
    </w:p>
    <w:p>
      <w:pPr>
        <w:spacing w:after="0" w:line="203" w:lineRule="exact"/>
        <w:rPr>
          <w:sz w:val="20"/>
          <w:szCs w:val="20"/>
          <w:color w:val="auto"/>
        </w:rPr>
      </w:pPr>
    </w:p>
    <w:p>
      <w:pPr>
        <w:ind w:right="400" w:firstLine="360"/>
        <w:spacing w:after="0" w:line="245" w:lineRule="auto"/>
        <w:rPr>
          <w:sz w:val="20"/>
          <w:szCs w:val="20"/>
          <w:color w:val="auto"/>
        </w:rPr>
      </w:pPr>
      <w:r>
        <w:rPr>
          <w:rFonts w:ascii="Times New Roman" w:cs="Times New Roman" w:eastAsia="Times New Roman" w:hAnsi="Times New Roman"/>
          <w:sz w:val="20"/>
          <w:szCs w:val="20"/>
          <w:color w:val="auto"/>
        </w:rPr>
        <w:t>The Company accrues the expenses for its clinical trial activities performed by third parties, including clinical research organizations and other service providers, based upon estimates of the work completed over the life of the individual study in accordance with associated agreements. The Company determines these estimates through discussion with internal personnel and outside service providers as to progress or stage of completion of trials or services pursuant to contracts with clinical research organizations and other service providers and the agreed-upon fee to be paid for such services. Payments made to outside service providers in advance of the performance of the related services are recorded as prepaid expenses and other current assets until the services are rendered. There have been no material adjustments to the Company’s estimates for clinical trial expenses through December 31,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40"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The Company recognizes compensation expense for all share- based awards. The Company accounts for stock-based compensation as measured at grant date, based on the fair value of the award. The Company measures the fair value of awards granted using the Black-Scholes option pricing model, which requires the input of subjective assumptions, including the estimated fair value of common stock, the expected volatility of the Company’s common stock, expected risk-free interest rate, and the option’s expected life. The Company also evaluates the impact of modifications made to the original terms of equity awards when they occur.</w:t>
      </w:r>
    </w:p>
    <w:p>
      <w:pPr>
        <w:spacing w:after="0" w:line="197" w:lineRule="exact"/>
        <w:rPr>
          <w:sz w:val="20"/>
          <w:szCs w:val="20"/>
          <w:color w:val="auto"/>
        </w:rPr>
      </w:pPr>
    </w:p>
    <w:p>
      <w:pPr>
        <w:ind w:right="20" w:firstLine="360"/>
        <w:spacing w:after="0" w:line="265" w:lineRule="auto"/>
        <w:rPr>
          <w:sz w:val="20"/>
          <w:szCs w:val="20"/>
          <w:color w:val="auto"/>
        </w:rPr>
      </w:pPr>
      <w:r>
        <w:rPr>
          <w:rFonts w:ascii="Times New Roman" w:cs="Times New Roman" w:eastAsia="Times New Roman" w:hAnsi="Times New Roman"/>
          <w:sz w:val="19"/>
          <w:szCs w:val="19"/>
          <w:color w:val="auto"/>
        </w:rPr>
        <w:t>The fair value of equity awards that are expected to vest is amortized on a straight-line basis over the requisite service period. Stock-based compensation expense is recognized net of actual forfeitures when they occur, as an increase to additional paid-in capital in the consolidated balance sheets and in selling, general and administrative or research and development expenses in the consolidated statements of operations and comprehensive (loss) income. All stock-based compensation costs are recorded in the consolidated statements of operations and comprehensive (loss) income based upon the underlying employee’s role within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40" w:lineRule="exact"/>
        <w:rPr>
          <w:sz w:val="20"/>
          <w:szCs w:val="20"/>
          <w:color w:val="auto"/>
        </w:rPr>
      </w:pPr>
    </w:p>
    <w:p>
      <w:pPr>
        <w:ind w:right="80" w:firstLine="360"/>
        <w:spacing w:after="0" w:line="247" w:lineRule="auto"/>
        <w:rPr>
          <w:sz w:val="20"/>
          <w:szCs w:val="20"/>
          <w:color w:val="auto"/>
        </w:rPr>
      </w:pPr>
      <w:r>
        <w:rPr>
          <w:rFonts w:ascii="Times New Roman" w:cs="Times New Roman" w:eastAsia="Times New Roman" w:hAnsi="Times New Roman"/>
          <w:sz w:val="20"/>
          <w:szCs w:val="20"/>
          <w:color w:val="auto"/>
        </w:rPr>
        <w:t>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760"/>
          </w:cols>
          <w:pgMar w:left="540" w:top="1349" w:right="580" w:bottom="0" w:gutter="0" w:footer="0" w:header="0"/>
          <w:type w:val="continuous"/>
        </w:sectPr>
      </w:pPr>
    </w:p>
    <w:bookmarkStart w:id="100" w:name="page101"/>
    <w:bookmarkEnd w:id="100"/>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The Company records uncertain tax positions on the basis of a two- step process whereby (i) it determines whether it is more likely than not that the tax positions will be sustained on the basis of the technical merits of the position and (ii) for those tax positions that meet the more-likely- than-not recognition threshold, it recognizes the largest amount of tax benefit that is more than 50 percent likely to be realized upon ultimate settlement with the related tax authority.</w:t>
      </w:r>
    </w:p>
    <w:p>
      <w:pPr>
        <w:spacing w:after="0" w:line="191" w:lineRule="exact"/>
        <w:rPr>
          <w:sz w:val="20"/>
          <w:szCs w:val="20"/>
          <w:color w:val="auto"/>
        </w:rPr>
      </w:pPr>
    </w:p>
    <w:p>
      <w:pPr>
        <w:ind w:right="200" w:firstLine="360"/>
        <w:spacing w:after="0" w:line="259" w:lineRule="auto"/>
        <w:rPr>
          <w:sz w:val="20"/>
          <w:szCs w:val="20"/>
          <w:color w:val="auto"/>
        </w:rPr>
      </w:pPr>
      <w:r>
        <w:rPr>
          <w:rFonts w:ascii="Times New Roman" w:cs="Times New Roman" w:eastAsia="Times New Roman" w:hAnsi="Times New Roman"/>
          <w:sz w:val="20"/>
          <w:szCs w:val="20"/>
          <w:color w:val="auto"/>
        </w:rPr>
        <w:t>The Company recognizes interest and penalties related to unrecognized tax benefits within the income tax expense line in the accompanying consolidated statements of operations and comprehensive (loss) income. Any accrued interest and penalties related to uncertain tax positions will be reflected as a liability in the consolidated balance sheets.</w:t>
      </w:r>
    </w:p>
    <w:p>
      <w:pPr>
        <w:spacing w:after="0" w:line="186" w:lineRule="exact"/>
        <w:rPr>
          <w:sz w:val="20"/>
          <w:szCs w:val="20"/>
          <w:color w:val="auto"/>
        </w:rPr>
      </w:pPr>
    </w:p>
    <w:p>
      <w:pPr>
        <w:ind w:firstLine="361"/>
        <w:spacing w:after="0" w:line="247" w:lineRule="auto"/>
        <w:rPr>
          <w:sz w:val="20"/>
          <w:szCs w:val="20"/>
          <w:color w:val="auto"/>
        </w:rPr>
      </w:pPr>
      <w:r>
        <w:rPr>
          <w:rFonts w:ascii="Times New Roman" w:cs="Times New Roman" w:eastAsia="Times New Roman" w:hAnsi="Times New Roman"/>
          <w:sz w:val="20"/>
          <w:szCs w:val="20"/>
          <w:color w:val="auto"/>
        </w:rPr>
        <w:t>On July 4, 2025, H.R.1, commonly referred to as the One Big Beautiful Bill Act (“OBBBA”), was enacted in the United States. The legislation includes a broad range of tax reform provisions, including extension and modification of certain key Tax Cuts and Jobs Act provisions (both domestic and international), and provisions permitting accelerated tax deductions for qualified property and research expenditures. The legislation contains multiple effective dates, with certain provisions that became effective in 2025 and others to be implemented through 2027. The enactment of the OBBBA did not have a material impact on the Company’s effective income tax rate or cash tax position.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Income Per Share</w:t>
      </w:r>
    </w:p>
    <w:p>
      <w:pPr>
        <w:spacing w:after="0" w:line="239" w:lineRule="exact"/>
        <w:rPr>
          <w:sz w:val="20"/>
          <w:szCs w:val="20"/>
          <w:color w:val="auto"/>
        </w:rPr>
      </w:pPr>
    </w:p>
    <w:p>
      <w:pPr>
        <w:ind w:right="20" w:firstLine="360"/>
        <w:spacing w:after="0" w:line="247" w:lineRule="auto"/>
        <w:rPr>
          <w:sz w:val="20"/>
          <w:szCs w:val="20"/>
          <w:color w:val="auto"/>
        </w:rPr>
      </w:pPr>
      <w:r>
        <w:rPr>
          <w:rFonts w:ascii="Times New Roman" w:cs="Times New Roman" w:eastAsia="Times New Roman" w:hAnsi="Times New Roman"/>
          <w:sz w:val="20"/>
          <w:szCs w:val="20"/>
          <w:color w:val="auto"/>
        </w:rPr>
        <w:t>The Company only has one class of shares. Basic net (loss) income per share is computed by dividing the net (loss) income by the weighted average number of shares of common stock outstanding during the period, without consideration for potentially dilutive shares of common stock. Diluted net (loss) income per share is computed by dividing the net (loss) income by the weighted-average shares of common stock and potentially dilutive securities outstanding during the period using the treasury stock and if-converted methods, unless their inclusion would have been anti-dilutive. For purposes of the diluted net loss per share calculation, warrants, convertible notes and common stock options were considered as potentially dilutive securities.</w:t>
      </w:r>
    </w:p>
    <w:p>
      <w:pPr>
        <w:spacing w:after="0" w:line="200" w:lineRule="exact"/>
        <w:rPr>
          <w:sz w:val="20"/>
          <w:szCs w:val="20"/>
          <w:color w:val="auto"/>
        </w:rPr>
      </w:pPr>
    </w:p>
    <w:p>
      <w:pPr>
        <w:ind w:right="280" w:firstLine="360"/>
        <w:spacing w:after="0" w:line="259" w:lineRule="auto"/>
        <w:rPr>
          <w:sz w:val="20"/>
          <w:szCs w:val="20"/>
          <w:color w:val="auto"/>
        </w:rPr>
      </w:pPr>
      <w:r>
        <w:rPr>
          <w:rFonts w:ascii="Times New Roman" w:cs="Times New Roman" w:eastAsia="Times New Roman" w:hAnsi="Times New Roman"/>
          <w:sz w:val="20"/>
          <w:szCs w:val="20"/>
          <w:color w:val="auto"/>
        </w:rPr>
        <w:t>Since the Company was in a loss position for the year ended December 31, 2025, basic net loss per share is the same as diluted net loss per share as the inclusion of all potentially dilutive shares of common stock was anti-dilutive, while the year ended December 31, 2024, contained dilutive securities that were included in the calculation of diluted net income per share.</w:t>
      </w:r>
    </w:p>
    <w:p>
      <w:pPr>
        <w:spacing w:after="0" w:line="186" w:lineRule="exact"/>
        <w:rPr>
          <w:sz w:val="20"/>
          <w:szCs w:val="20"/>
          <w:color w:val="auto"/>
        </w:rPr>
      </w:pPr>
    </w:p>
    <w:p>
      <w:pPr>
        <w:ind w:right="200" w:firstLine="360"/>
        <w:spacing w:after="0" w:line="278" w:lineRule="auto"/>
        <w:rPr>
          <w:sz w:val="20"/>
          <w:szCs w:val="20"/>
          <w:color w:val="auto"/>
        </w:rPr>
      </w:pPr>
      <w:r>
        <w:rPr>
          <w:rFonts w:ascii="Times New Roman" w:cs="Times New Roman" w:eastAsia="Times New Roman" w:hAnsi="Times New Roman"/>
          <w:sz w:val="20"/>
          <w:szCs w:val="20"/>
          <w:color w:val="auto"/>
        </w:rPr>
        <w:t>Basic and diluted net loss per share for the year ended December 31, 2025 was calculated as follows (in thousands, except share and per share amounts):</w:t>
      </w:r>
    </w:p>
    <w:p>
      <w:pPr>
        <w:spacing w:after="0" w:line="177"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7620" w:type="dxa"/>
            <w:vAlign w:val="bottom"/>
            <w:tcBorders>
              <w:bottom w:val="single" w:sz="8" w:color="auto"/>
            </w:tcBorders>
          </w:tcPr>
          <w:p>
            <w:pPr>
              <w:jc w:val="right"/>
              <w:ind w:right="5405"/>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2025</w:t>
            </w:r>
          </w:p>
        </w:tc>
        <w:tc>
          <w:tcPr>
            <w:tcW w:w="520" w:type="dxa"/>
            <w:vAlign w:val="bottom"/>
            <w:gridSpan w:val="3"/>
            <w:vMerge w:val="restart"/>
          </w:tcPr>
          <w:p>
            <w:pPr>
              <w:jc w:val="right"/>
              <w:ind w:right="95"/>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(39,222)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95"/>
              </w:rPr>
              <w:t>Net loss . . . . . . . . . . . . . . . . . . . . . . . . . . . . . . . . . . . . . . . . . . . . . . . . . . . . . . . . . . . . . . . . . . . . . . . .</w:t>
            </w:r>
          </w:p>
        </w:tc>
        <w:tc>
          <w:tcPr>
            <w:tcW w:w="520" w:type="dxa"/>
            <w:vAlign w:val="bottom"/>
            <w:gridSpan w:val="3"/>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.Weightedaveragesharesofcommonstockoutstanding,basicanddiluted</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9,921,587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 . . . . . . . . . . . .Netlosspershare,basicanddiluted</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320" w:firstLine="360"/>
        <w:spacing w:after="0" w:line="278" w:lineRule="auto"/>
        <w:rPr>
          <w:sz w:val="20"/>
          <w:szCs w:val="20"/>
          <w:color w:val="auto"/>
        </w:rPr>
      </w:pPr>
      <w:r>
        <w:rPr>
          <w:rFonts w:ascii="Times New Roman" w:cs="Times New Roman" w:eastAsia="Times New Roman" w:hAnsi="Times New Roman"/>
          <w:sz w:val="20"/>
          <w:szCs w:val="20"/>
          <w:color w:val="auto"/>
        </w:rPr>
        <w:t>Basic and diluted net income per share for the year ended December 31, 2024 were calculated as follows (in thousands, except share and per share amounts):</w:t>
      </w:r>
    </w:p>
    <w:p>
      <w:pPr>
        <w:spacing w:after="0" w:line="188"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7620" w:type="dxa"/>
            <w:vAlign w:val="bottom"/>
            <w:tcBorders>
              <w:bottom w:val="single" w:sz="8" w:color="auto"/>
            </w:tcBorders>
          </w:tcPr>
          <w:p>
            <w:pPr>
              <w:jc w:val="right"/>
              <w:ind w:right="5403"/>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2024</w:t>
            </w:r>
          </w:p>
        </w:tc>
        <w:tc>
          <w:tcPr>
            <w:tcW w:w="580" w:type="dxa"/>
            <w:vAlign w:val="bottom"/>
            <w:gridSpan w:val="3"/>
            <w:vMerge w:val="restart"/>
          </w:tcPr>
          <w:p>
            <w:pPr>
              <w:jc w:val="right"/>
              <w:ind w:right="155"/>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42,005</w:t>
            </w:r>
          </w:p>
        </w:tc>
        <w:tc>
          <w:tcPr>
            <w:tcW w:w="0" w:type="dxa"/>
            <w:vAlign w:val="bottom"/>
          </w:tcPr>
          <w:p>
            <w:pPr>
              <w:spacing w:after="0"/>
              <w:rPr>
                <w:sz w:val="1"/>
                <w:szCs w:val="1"/>
                <w:color w:val="auto"/>
              </w:rPr>
            </w:pPr>
          </w:p>
        </w:tc>
      </w:tr>
      <w:tr>
        <w:trPr>
          <w:trHeight w:val="229"/>
        </w:trPr>
        <w:tc>
          <w:tcPr>
            <w:tcW w:w="7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96"/>
              </w:rPr>
              <w:t>Net income . . . . . . . . . . . . . . . . . . . . . . . . . . . . . . . . . . . . . . . . . . . . . . . . . . . . . . . . . . . . . . . . . . . . .</w:t>
            </w:r>
          </w:p>
        </w:tc>
        <w:tc>
          <w:tcPr>
            <w:tcW w:w="580" w:type="dxa"/>
            <w:vAlign w:val="bottom"/>
            <w:gridSpan w:val="3"/>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.Weightedaveragesharesofcommonstockoutstanding,basic</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540,360</w:t>
            </w:r>
          </w:p>
        </w:tc>
        <w:tc>
          <w:tcPr>
            <w:tcW w:w="0" w:type="dxa"/>
            <w:vAlign w:val="bottom"/>
          </w:tcPr>
          <w:p>
            <w:pPr>
              <w:spacing w:after="0"/>
              <w:rPr>
                <w:sz w:val="1"/>
                <w:szCs w:val="1"/>
                <w:color w:val="auto"/>
              </w:rPr>
            </w:pPr>
          </w:p>
        </w:tc>
      </w:tr>
      <w:tr>
        <w:trPr>
          <w:trHeight w:val="239"/>
        </w:trPr>
        <w:tc>
          <w:tcPr>
            <w:tcW w:w="7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 . . . . . . . . . . . . . . . . . .Netincomepershare,basic</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77.74</w:t>
            </w:r>
          </w:p>
        </w:tc>
        <w:tc>
          <w:tcPr>
            <w:tcW w:w="0" w:type="dxa"/>
            <w:vAlign w:val="bottom"/>
          </w:tcPr>
          <w:p>
            <w:pPr>
              <w:spacing w:after="0"/>
              <w:rPr>
                <w:sz w:val="1"/>
                <w:szCs w:val="1"/>
                <w:color w:val="auto"/>
              </w:rPr>
            </w:pPr>
          </w:p>
        </w:tc>
      </w:tr>
      <w:tr>
        <w:trPr>
          <w:trHeight w:val="240"/>
        </w:trPr>
        <w:tc>
          <w:tcPr>
            <w:tcW w:w="7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.Weightedaveragesharesofcommonstockoutstanding,diluted</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575,945</w:t>
            </w:r>
          </w:p>
        </w:tc>
        <w:tc>
          <w:tcPr>
            <w:tcW w:w="0" w:type="dxa"/>
            <w:vAlign w:val="bottom"/>
          </w:tcPr>
          <w:p>
            <w:pPr>
              <w:spacing w:after="0"/>
              <w:rPr>
                <w:sz w:val="1"/>
                <w:szCs w:val="1"/>
                <w:color w:val="auto"/>
              </w:rPr>
            </w:pPr>
          </w:p>
        </w:tc>
      </w:tr>
      <w:tr>
        <w:trPr>
          <w:trHeight w:val="242"/>
        </w:trPr>
        <w:tc>
          <w:tcPr>
            <w:tcW w:w="7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 . . . . . . . . . . . . . . . . .Netincomepershare,diluted</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72.93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800"/>
          </w:cols>
          <w:pgMar w:left="540" w:top="1349" w:right="540" w:bottom="0" w:gutter="0" w:footer="0" w:header="0"/>
          <w:type w:val="continuous"/>
        </w:sectPr>
      </w:pPr>
    </w:p>
    <w:bookmarkStart w:id="101" w:name="page102"/>
    <w:bookmarkEnd w:id="101"/>
    <w:p>
      <w:pPr>
        <w:ind w:right="260" w:firstLine="360"/>
        <w:spacing w:after="0" w:line="278" w:lineRule="auto"/>
        <w:rPr>
          <w:sz w:val="20"/>
          <w:szCs w:val="20"/>
          <w:color w:val="auto"/>
        </w:rPr>
      </w:pPr>
      <w:r>
        <w:rPr>
          <w:rFonts w:ascii="Times New Roman" w:cs="Times New Roman" w:eastAsia="Times New Roman" w:hAnsi="Times New Roman"/>
          <w:sz w:val="20"/>
          <w:szCs w:val="20"/>
          <w:color w:val="auto"/>
        </w:rPr>
        <w:t>The following potentially dilutive securities outstanding have been excluded from the computation of diluted weighted average shares outstanding because such securities have an anti-dilutive impact (in shares):</w:t>
      </w:r>
    </w:p>
    <w:p>
      <w:pPr>
        <w:spacing w:after="0" w:line="188"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gridSpan w:val="4"/>
          </w:tcPr>
          <w:p>
            <w:pPr>
              <w:jc w:val="center"/>
              <w:ind w:left="70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auto"/>
            </w:tcBorders>
            <w:gridSpan w:val="4"/>
          </w:tcPr>
          <w:p>
            <w:pPr>
              <w:jc w:val="center"/>
              <w:ind w:left="68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Warrants</w:t>
            </w:r>
          </w:p>
        </w:tc>
        <w:tc>
          <w:tcPr>
            <w:tcW w:w="1200" w:type="dxa"/>
            <w:vAlign w:val="bottom"/>
            <w:tcBorders>
              <w:bottom w:val="single" w:sz="8" w:color="auto"/>
            </w:tcBorders>
          </w:tcPr>
          <w:p>
            <w:pPr>
              <w:jc w:val="right"/>
              <w:ind w:right="34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1"/>
        </w:trPr>
        <w:tc>
          <w:tcPr>
            <w:tcW w:w="6480" w:type="dxa"/>
            <w:vAlign w:val="bottom"/>
            <w:gridSpan w:val="2"/>
            <w:vMerge w:val="continue"/>
          </w:tcPr>
          <w:p>
            <w:pPr>
              <w:jc w:val="right"/>
              <w:ind w:right="3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w:t>
            </w: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3,807,911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55,403</w:t>
            </w:r>
          </w:p>
        </w:tc>
        <w:tc>
          <w:tcPr>
            <w:tcW w:w="0" w:type="dxa"/>
            <w:vAlign w:val="bottom"/>
          </w:tcPr>
          <w:p>
            <w:pPr>
              <w:spacing w:after="0"/>
              <w:rPr>
                <w:sz w:val="1"/>
                <w:szCs w:val="1"/>
                <w:color w:val="auto"/>
              </w:rPr>
            </w:pPr>
          </w:p>
        </w:tc>
      </w:tr>
      <w:tr>
        <w:trPr>
          <w:trHeight w:val="229"/>
        </w:trPr>
        <w:tc>
          <w:tcPr>
            <w:tcW w:w="64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8"/>
              </w:rPr>
              <w:t>Common stock options and restricted stock units . . . . . . . . . . . . . . . . . . . . . . .</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853,712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88,999</w:t>
            </w:r>
          </w:p>
        </w:tc>
        <w:tc>
          <w:tcPr>
            <w:tcW w:w="0" w:type="dxa"/>
            <w:vAlign w:val="bottom"/>
          </w:tcPr>
          <w:p>
            <w:pPr>
              <w:spacing w:after="0"/>
              <w:rPr>
                <w:sz w:val="1"/>
                <w:szCs w:val="1"/>
                <w:color w:val="auto"/>
              </w:rPr>
            </w:pPr>
          </w:p>
        </w:tc>
      </w:tr>
      <w:tr>
        <w:trPr>
          <w:trHeight w:val="250"/>
        </w:trPr>
        <w:tc>
          <w:tcPr>
            <w:tcW w:w="64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Convertible notes . . . . . . . . . . . . . . . . . . . . . . . . . . . . . . . . . . . . . . . . . . . . . . . . .</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23,155,011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399,128</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27,816,634</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543,530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239"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The Company may be, from time to time, a party to various disputes and claims arising from normal business activities. The Company continually assesses litigation to determine if an unfavorable outcome would lead to a probable loss or reasonably possible loss which could be estimated. The Company accrues for all contingencies at the earliest date at which the Company deems it probable that a liability has been incurred and the amount of such liability can be reasonably estimated. If the estimate of a probable loss is a range and no amount within the range is more likely than another, the Company accrues the minimum of the range. In the cases where the Company believes that a reasonably possible loss exists, the Company discloses the facts and circumstances of the litigation, including an estimable range, if possible.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237"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 This update requires disaggregated information about a reporting entity’s effective tax rate reconciliation as well as information on income taxes paid. ASU 2023-09 is effective for public entities with annual periods beginning after December 15, 2024, with early adoption permitted. The Company adopted the provisions of ASU 2023-09 for the year ended December 31, 2025, and applied the amendments prospectively. See Note 8 Income Taxes for more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Pronouncements Not Yet Adopted</w:t>
      </w:r>
    </w:p>
    <w:p>
      <w:pPr>
        <w:spacing w:after="0" w:line="237"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Disaggregation of Income Statement Expenses</w:t>
      </w:r>
      <w:r>
        <w:rPr>
          <w:rFonts w:ascii="Times New Roman" w:cs="Times New Roman" w:eastAsia="Times New Roman" w:hAnsi="Times New Roman"/>
          <w:sz w:val="20"/>
          <w:szCs w:val="20"/>
          <w:color w:val="auto"/>
        </w:rPr>
        <w:t>, which is intended to improve financial reporting by requiring disaggregated disclosure of certain costs and expenses. ASU 2024-03 is effective for fiscal years beginning after December 15, 2026 and for interim periods within fiscal years beginning after December 15, 2027, with early adoption permitted, and may be applied on either a prospective or retrospective basis. The Company is currently evaluating the impact of this guidance on its consolidated financial statements.</w:t>
      </w:r>
    </w:p>
    <w:p>
      <w:pPr>
        <w:spacing w:after="0" w:line="197"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 xml:space="preserve">In December 2025, the FASB issued ASU No. 2025-11 </w:t>
      </w:r>
      <w:r>
        <w:rPr>
          <w:rFonts w:ascii="Times New Roman" w:cs="Times New Roman" w:eastAsia="Times New Roman" w:hAnsi="Times New Roman"/>
          <w:sz w:val="20"/>
          <w:szCs w:val="20"/>
          <w:i w:val="1"/>
          <w:iCs w:val="1"/>
          <w:color w:val="auto"/>
        </w:rPr>
        <w:t>Interim Reporting (Topic 270),</w:t>
      </w:r>
      <w:r>
        <w:rPr>
          <w:rFonts w:ascii="Times New Roman" w:cs="Times New Roman" w:eastAsia="Times New Roman" w:hAnsi="Times New Roman"/>
          <w:sz w:val="20"/>
          <w:szCs w:val="20"/>
          <w:color w:val="auto"/>
        </w:rPr>
        <w:t xml:space="preserve"> which clarifies interim disclosure requirements and enhances clarity in the application of Topic 270. ASU No. 2025-11 is effective for fiscal years beginning after December 15, 2027, including interim periods within those fiscal years. Early adoption is permitted. The amendments of this ASU can be applied prospectively or retrospectively. The Company is currently evaluating the impact of this guidance on its consolidated financial statements.</w:t>
      </w:r>
    </w:p>
    <w:p>
      <w:pPr>
        <w:spacing w:after="0" w:line="19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Note 3.</w:t>
        <w:tab/>
        <w:t>Public Offering</w:t>
      </w:r>
    </w:p>
    <w:p>
      <w:pPr>
        <w:spacing w:after="0" w:line="243" w:lineRule="exact"/>
        <w:rPr>
          <w:sz w:val="20"/>
          <w:szCs w:val="20"/>
          <w:color w:val="auto"/>
        </w:rPr>
      </w:pPr>
    </w:p>
    <w:p>
      <w:pPr>
        <w:ind w:right="920" w:firstLine="360"/>
        <w:spacing w:after="0" w:line="268" w:lineRule="auto"/>
        <w:rPr>
          <w:sz w:val="20"/>
          <w:szCs w:val="20"/>
          <w:color w:val="auto"/>
        </w:rPr>
      </w:pPr>
      <w:r>
        <w:rPr>
          <w:rFonts w:ascii="Times New Roman" w:cs="Times New Roman" w:eastAsia="Times New Roman" w:hAnsi="Times New Roman"/>
          <w:sz w:val="19"/>
          <w:szCs w:val="19"/>
          <w:color w:val="auto"/>
        </w:rPr>
        <w:t>On January 6, 2025, the Company entered into an underwriting agreement with Aegis Capital Corp. (“Aegis” or the “Underwriter”) pursuant to which the Company agreed to sell and issue, in an underwritten public offering (the “Offering”)</w:t>
      </w:r>
    </w:p>
    <w:p>
      <w:pPr>
        <w:spacing w:after="0" w:line="1"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20"/>
          <w:szCs w:val="20"/>
          <w:color w:val="auto"/>
        </w:rPr>
        <w:t>555,571 Common Units, each consisting of (i) one (1) share of common stock, (ii) one (1) Series A Registered common warrant to purchase one (1) share of common stock per warrant (the “Series A Warrants”) at an exercise price of $45.00 (the “Exercise Price”) and (iii) one (1) Series B Registered common warrant to purchase one (1) share of common stock per warrant (the “Series B Warrants” and together with the Series A Warrants, the “Warrants”) at an Exercise Price of $45.00.</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800"/>
          </w:cols>
          <w:pgMar w:left="540" w:top="1349" w:right="540" w:bottom="0" w:gutter="0" w:footer="0" w:header="0"/>
          <w:type w:val="continuous"/>
        </w:sectPr>
      </w:pPr>
    </w:p>
    <w:bookmarkStart w:id="102" w:name="page103"/>
    <w:bookmarkEnd w:id="102"/>
    <w:p>
      <w:pPr>
        <w:ind w:right="40" w:firstLine="360"/>
        <w:spacing w:after="0" w:line="259" w:lineRule="auto"/>
        <w:rPr>
          <w:sz w:val="20"/>
          <w:szCs w:val="20"/>
          <w:color w:val="auto"/>
        </w:rPr>
      </w:pPr>
      <w:r>
        <w:rPr>
          <w:rFonts w:ascii="Times New Roman" w:cs="Times New Roman" w:eastAsia="Times New Roman" w:hAnsi="Times New Roman"/>
          <w:sz w:val="20"/>
          <w:szCs w:val="20"/>
          <w:color w:val="auto"/>
        </w:rPr>
        <w:t>The closing of the Offering occurred on January 7, 2025. The Company received net proceeds of approximately $18.3 million from the Offering, after deducting the offering expenses payable by the Company, including the Underwriter’s fees and expenses. The Company intends to use the net proceeds from the Offering for general corporate purposes, including working capital.</w:t>
      </w:r>
    </w:p>
    <w:p>
      <w:pPr>
        <w:spacing w:after="0" w:line="186"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Series A Warrants were exercisable beginning on February 24, 2025, the date of approval by stockholders of the Company (the “Stockholder Approval Date” or the “Initial Exercise Date”), and expire in February 2030, the sixty (60) month anniversary of the Initial Exercise Date. The Series B Warrants were exercisable beginning on the Initial Exercise Date and expire in August 2027, on the thirty (30) month anniversary of the Initial Exercise Date.</w:t>
      </w:r>
    </w:p>
    <w:p>
      <w:pPr>
        <w:spacing w:after="0" w:line="191"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Upon issuance, the Warrants had an initial exercise price of $45.00, which was reset on the eleventh trading date after the Stockholder Approval Date (the “Reset Date”). Prior to the Stockholder Approval Date, the Warrants had a floor price of $20.23, and following stockholder approval, the Warrants had a floor price of $8.06. The reset price was the greater of (i) the lowest single trading day volume-weighted average price (“VWAP”) of the Company’s common stock during the reset period and (ii) the floor price, as defined in the agreement.</w:t>
      </w:r>
    </w:p>
    <w:p>
      <w:pPr>
        <w:spacing w:after="0" w:line="197" w:lineRule="exact"/>
        <w:rPr>
          <w:sz w:val="20"/>
          <w:szCs w:val="20"/>
          <w:color w:val="auto"/>
        </w:rPr>
      </w:pPr>
    </w:p>
    <w:p>
      <w:pPr>
        <w:ind w:right="260" w:firstLine="360"/>
        <w:spacing w:after="0" w:line="252" w:lineRule="auto"/>
        <w:rPr>
          <w:sz w:val="20"/>
          <w:szCs w:val="20"/>
          <w:color w:val="auto"/>
        </w:rPr>
      </w:pPr>
      <w:r>
        <w:rPr>
          <w:rFonts w:ascii="Times New Roman" w:cs="Times New Roman" w:eastAsia="Times New Roman" w:hAnsi="Times New Roman"/>
          <w:sz w:val="20"/>
          <w:szCs w:val="20"/>
          <w:color w:val="auto"/>
        </w:rPr>
        <w:t>On February 24, 2025, the Company held a special stockholder meeting, at which stockholders voted, among other matters, to authorize stockholder approval of the Warrants within the context of the agreements for such Warrants. As such, as of February 24, 2025, the Warrants became exercisable. The stock price on the Reset Date was below the floor price following the Stockholder Approval Date, and as such, the exercise price was reset to $8.06.</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On February 24, 2025, the following proposals were approved at a special meeting of shareholders:</w:t>
      </w:r>
    </w:p>
    <w:p>
      <w:pPr>
        <w:spacing w:after="0" w:line="244" w:lineRule="exact"/>
        <w:rPr>
          <w:sz w:val="20"/>
          <w:szCs w:val="20"/>
          <w:color w:val="auto"/>
        </w:rPr>
      </w:pPr>
    </w:p>
    <w:p>
      <w:pPr>
        <w:ind w:left="720" w:right="360" w:hanging="360"/>
        <w:spacing w:after="0" w:line="262" w:lineRule="auto"/>
        <w:tabs>
          <w:tab w:leader="none" w:pos="72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An amendment to the Company’s certificate of incorporation to increase the number of authorized shares of our common stock, par value $0.0001 (the “common stock”) from 500,000,000 to 1,040,000,000;</w:t>
      </w:r>
    </w:p>
    <w:p>
      <w:pPr>
        <w:spacing w:after="0" w:line="156" w:lineRule="exact"/>
        <w:rPr>
          <w:rFonts w:ascii="Symbol" w:cs="Symbol" w:eastAsia="Symbol" w:hAnsi="Symbol"/>
          <w:sz w:val="20"/>
          <w:szCs w:val="20"/>
          <w:color w:val="auto"/>
        </w:rPr>
      </w:pPr>
    </w:p>
    <w:p>
      <w:pPr>
        <w:ind w:left="720" w:right="80" w:hanging="360"/>
        <w:spacing w:after="0" w:line="245" w:lineRule="auto"/>
        <w:tabs>
          <w:tab w:leader="none" w:pos="72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Discretionary authority granted to the Company’s board of directors to (i) amend the Company’s certificate of incorporation to combine outstanding shares of the Company’s common stock into a lesser number of outstanding shares at a specific ratio within a range of one-for-five (1-for-5) to a maximum of a one-for-one hundred fifty (1-for-150), with the exact ratio to be determined by our board of directors in its sole discretion; and (ii) effect the reverse stock split, if at all, within one year of the date the proposal is approved by stockholders;</w:t>
      </w:r>
    </w:p>
    <w:p>
      <w:pPr>
        <w:spacing w:after="0" w:line="175" w:lineRule="exact"/>
        <w:rPr>
          <w:rFonts w:ascii="Symbol" w:cs="Symbol" w:eastAsia="Symbol" w:hAnsi="Symbol"/>
          <w:sz w:val="20"/>
          <w:szCs w:val="20"/>
          <w:color w:val="auto"/>
        </w:rPr>
      </w:pPr>
    </w:p>
    <w:p>
      <w:pPr>
        <w:ind w:left="720" w:right="60" w:hanging="360"/>
        <w:spacing w:after="0" w:line="261" w:lineRule="auto"/>
        <w:tabs>
          <w:tab w:leader="none" w:pos="72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Authorized shares of common stock underlying the warrants and certain provisions of the warrants issued in connection with a public offering that was consummated on January 7, 2025.</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Additionally, the Company granted Aegis a 45-day option to purchase additional shares of common stock and/or Warrants of</w:t>
      </w:r>
    </w:p>
    <w:p>
      <w:pPr>
        <w:spacing w:after="0" w:line="28" w:lineRule="exact"/>
        <w:rPr>
          <w:sz w:val="20"/>
          <w:szCs w:val="20"/>
          <w:color w:val="auto"/>
        </w:rPr>
      </w:pPr>
    </w:p>
    <w:p>
      <w:pPr>
        <w:ind w:right="200"/>
        <w:spacing w:after="0" w:line="242" w:lineRule="auto"/>
        <w:tabs>
          <w:tab w:leader="none" w:pos="23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 to 15.0% of the number of shares of common stock sold in the offering, (ii) up to 15.0% of the number of Series A Warrants sold in the offering and (iii) up to 15.0% of the number of Series B Warrants sold in the offering. The purchase price per additional share of common stock is equal to the public offering price of one Common Unit (less $0.01 allocated to each full Warrant), less the underwriting discount. The purchase price per additional Warrant is $0.01. On January 7, 2025, Aegis exercised its over-allotment option with respect to 83,334 Series A Warrants and 83,334 Series B Warrants.</w:t>
      </w:r>
    </w:p>
    <w:p>
      <w:pPr>
        <w:spacing w:after="0" w:line="202" w:lineRule="exact"/>
        <w:rPr>
          <w:sz w:val="20"/>
          <w:szCs w:val="20"/>
          <w:color w:val="auto"/>
        </w:rPr>
      </w:pPr>
    </w:p>
    <w:p>
      <w:pPr>
        <w:ind w:right="320" w:firstLine="360"/>
        <w:spacing w:after="0" w:line="259" w:lineRule="auto"/>
        <w:rPr>
          <w:sz w:val="20"/>
          <w:szCs w:val="20"/>
          <w:color w:val="auto"/>
        </w:rPr>
      </w:pPr>
      <w:r>
        <w:rPr>
          <w:rFonts w:ascii="Times New Roman" w:cs="Times New Roman" w:eastAsia="Times New Roman" w:hAnsi="Times New Roman"/>
          <w:sz w:val="20"/>
          <w:szCs w:val="20"/>
          <w:color w:val="auto"/>
        </w:rPr>
        <w:t>The holders of Series A Warrants can effect a cashless exercise if there is no effective registration statement at the time of exercise. The number of common shares to be issued would be calculated as VWAP minus exercise price of the Series A Warrants multiplied by the number Series A Warrants to be cashlessly exercised.</w:t>
      </w:r>
    </w:p>
    <w:p>
      <w:pPr>
        <w:spacing w:after="0" w:line="186" w:lineRule="exact"/>
        <w:rPr>
          <w:sz w:val="20"/>
          <w:szCs w:val="20"/>
          <w:color w:val="auto"/>
        </w:rPr>
      </w:pPr>
    </w:p>
    <w:p>
      <w:pPr>
        <w:ind w:right="140" w:firstLine="361"/>
        <w:spacing w:after="0" w:line="259" w:lineRule="auto"/>
        <w:rPr>
          <w:sz w:val="20"/>
          <w:szCs w:val="20"/>
          <w:color w:val="auto"/>
        </w:rPr>
      </w:pPr>
      <w:r>
        <w:rPr>
          <w:rFonts w:ascii="Times New Roman" w:cs="Times New Roman" w:eastAsia="Times New Roman" w:hAnsi="Times New Roman"/>
          <w:sz w:val="20"/>
          <w:szCs w:val="20"/>
          <w:color w:val="auto"/>
        </w:rPr>
        <w:t>The holders of Series B Warrants may effect an alternative cashless exercise whether or not an effective registration statement is available for the issuance of shares. In such event, the number of shares to be issued would be calculated as the number of Series B Warrants to be cashlessly exercised multiplied by a factor of 3.0.</w:t>
      </w:r>
    </w:p>
    <w:p>
      <w:pPr>
        <w:spacing w:after="0" w:line="186" w:lineRule="exact"/>
        <w:rPr>
          <w:sz w:val="20"/>
          <w:szCs w:val="20"/>
          <w:color w:val="auto"/>
        </w:rPr>
      </w:pPr>
    </w:p>
    <w:p>
      <w:pPr>
        <w:ind w:right="100" w:firstLine="36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2025, certain holders of the Series B Warrants exercised 3,502,982 Series B Warrants, in accordance with the alternative cashless exercise provision in the Series B Warrants, resulting in the issuance of 10,508,946 shares of common stock of the Company. There were no exercises of Series A Warrants for the year ended December 31, 2025. The fair value of the warrants exercised on the respective exercise dates for the year ended December 31, 2025 was $7.0 million. There were no Series A Warrants exercised during the year ended December 31, 2025. As of December 31, 2025, there were 3,565,245 and 62,263 units of Series A and Series B Warrants outstanding, respectively.</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780"/>
          </w:cols>
          <w:pgMar w:left="540" w:top="1349" w:right="560" w:bottom="0" w:gutter="0" w:footer="0" w:header="0"/>
          <w:type w:val="continuous"/>
        </w:sectPr>
      </w:pPr>
    </w:p>
    <w:bookmarkStart w:id="103" w:name="page104"/>
    <w:bookmarkEnd w:id="103"/>
    <w:p>
      <w:pPr>
        <w:ind w:right="20" w:firstLine="361"/>
        <w:spacing w:after="0" w:line="246" w:lineRule="auto"/>
        <w:rPr>
          <w:sz w:val="20"/>
          <w:szCs w:val="20"/>
          <w:color w:val="auto"/>
        </w:rPr>
      </w:pPr>
      <w:r>
        <w:rPr>
          <w:rFonts w:ascii="Times New Roman" w:cs="Times New Roman" w:eastAsia="Times New Roman" w:hAnsi="Times New Roman"/>
          <w:sz w:val="20"/>
          <w:szCs w:val="20"/>
          <w:color w:val="auto"/>
        </w:rPr>
        <w:t>On the date of issuance, the Company recognized a loss on issuance of $75.6 million, which reflects the fair value of the warrants in excess of the proceeds received. For the year ended December 31, 2025, the Company recognized $ 65.0 million of income related to the change in fair value of the exercised Series B Warrants. For the year ended December 31, 2025, the Company recognized $17.7 million of income related to the change in fair value of the remaining outstanding Series A Warrants, $1.1 million of income related to the change in fair value of the remaining outstanding Series B Warrants, and $1.2 million of income due to the decrease in fair value related to private warrants primarily from the decrease in stock price used in the fair value calculation. Refer to Note 6 Fair Value Measurements for additional information.</w:t>
      </w:r>
    </w:p>
    <w:p>
      <w:pPr>
        <w:spacing w:after="0" w:line="19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Note 4.</w:t>
      </w:r>
      <w:r>
        <w:rPr>
          <w:sz w:val="20"/>
          <w:szCs w:val="20"/>
          <w:color w:val="auto"/>
        </w:rPr>
        <w:tab/>
      </w:r>
      <w:r>
        <w:rPr>
          <w:rFonts w:ascii="Times New Roman" w:cs="Times New Roman" w:eastAsia="Times New Roman" w:hAnsi="Times New Roman"/>
          <w:sz w:val="19"/>
          <w:szCs w:val="19"/>
          <w:b w:val="1"/>
          <w:bCs w:val="1"/>
          <w:color w:val="auto"/>
        </w:rPr>
        <w:t>Private Placement Financing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Securities Purchase Agreement</w:t>
      </w:r>
    </w:p>
    <w:p>
      <w:pPr>
        <w:spacing w:after="0" w:line="157"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20"/>
          <w:szCs w:val="20"/>
          <w:color w:val="auto"/>
        </w:rPr>
        <w:t>On November 12, 2025, the Company entered into a Securities Purchase Agreement (the “Securities Purchase Agreement”) with certain investors (the “Investors”) whereby the Company agreed to issue and sell to the Investors in a private placement (the “PIPE Financing”): (i) shares (the “PIPE Shares”) of its common stock, par value $0.0001 per share, (ii) pre-funded warrants (the “PIPE Pre-Funded Warrants”) to purchase shares of common stock, (iii) warrants (the “PIPE Warrants”) to purchase shares of common stock, and (iv) True-Up Warrants (as defined below) to purchase shares of common stock. The purchase price paid by the Investors was $0.9116 per Share (or $0.9115 per pre-funded warrant in lieu of shares), the closing price of the Company’s stock on November 12, 2025.</w:t>
      </w:r>
    </w:p>
    <w:p>
      <w:pPr>
        <w:spacing w:after="0" w:line="120" w:lineRule="exact"/>
        <w:rPr>
          <w:sz w:val="20"/>
          <w:szCs w:val="20"/>
          <w:color w:val="auto"/>
        </w:rPr>
      </w:pPr>
    </w:p>
    <w:p>
      <w:pPr>
        <w:ind w:right="100" w:firstLine="360"/>
        <w:spacing w:after="0" w:line="259" w:lineRule="auto"/>
        <w:rPr>
          <w:sz w:val="20"/>
          <w:szCs w:val="20"/>
          <w:color w:val="auto"/>
        </w:rPr>
      </w:pPr>
      <w:r>
        <w:rPr>
          <w:rFonts w:ascii="Times New Roman" w:cs="Times New Roman" w:eastAsia="Times New Roman" w:hAnsi="Times New Roman"/>
          <w:sz w:val="20"/>
          <w:szCs w:val="20"/>
          <w:color w:val="auto"/>
        </w:rPr>
        <w:t>The first closing of the PIPE Financing occurred on November 18, 2025 (the “First Closing”). At the First Closing, the Company issued 1,964,905 PIPE Pre-Funded Warrants in exchange for cash of $1.8 million. The Second Closing of the PIPE Financing occurred on January 27, 2026.</w:t>
      </w:r>
    </w:p>
    <w:p>
      <w:pPr>
        <w:spacing w:after="0" w:line="106"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color w:val="auto"/>
        </w:rPr>
        <w:t>Following the Second Closing and the consummation of the Exchange, the Company has agreed to issue to each Investor that purchases all securities contemplated to be purchased by it pursuant to the Securities Purchase Agreement, a warrant (the “True-Up Warrant)” to purchase the number of shares of common stock necessary for the Investor’s Post-Exchange Investment Percentage (as defined in the Securities Purchase Agreement) following the issuance of the Exchange Shares (defined below) to be equal to the Investor’s Pre-Exchange Investment Percentage (as defined in the Securities Purchase Agreement) (rounded down to the nearest whole share of common stock), provided, however, that in no event shall the number of shares of common stock issuable under an Investor’s True-Up Warrant exceed the total number of shares or pre-funded warrant shares (as defined below) issued or issuable to an Investor pursuant to the Securities Purchase Agreement.</w:t>
      </w:r>
    </w:p>
    <w:p>
      <w:pPr>
        <w:spacing w:after="0" w:line="121" w:lineRule="exact"/>
        <w:rPr>
          <w:sz w:val="20"/>
          <w:szCs w:val="20"/>
          <w:color w:val="auto"/>
        </w:rPr>
      </w:pPr>
    </w:p>
    <w:p>
      <w:pPr>
        <w:ind w:right="120" w:firstLine="360"/>
        <w:spacing w:after="0" w:line="252" w:lineRule="auto"/>
        <w:rPr>
          <w:sz w:val="20"/>
          <w:szCs w:val="20"/>
          <w:color w:val="auto"/>
        </w:rPr>
      </w:pPr>
      <w:r>
        <w:rPr>
          <w:rFonts w:ascii="Times New Roman" w:cs="Times New Roman" w:eastAsia="Times New Roman" w:hAnsi="Times New Roman"/>
          <w:sz w:val="20"/>
          <w:szCs w:val="20"/>
          <w:color w:val="auto"/>
        </w:rPr>
        <w:t>Subject to the terms and conditions therein, the Securities Purchase Agreement also grants to the Investors, until such time as the earlier of (i) the date that no Warrants remain outstanding and (ii) the 18-month anniversary of the Second Closing, a right to participate in any financing not registered under the Securities Act and involving the issuance by the Company of common stock or common stock equivalents for cash.</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Terms of the Pre-Funded Warrants, Warrants and True-Up Warrants</w:t>
      </w:r>
    </w:p>
    <w:p>
      <w:pPr>
        <w:spacing w:after="0" w:line="158" w:lineRule="exact"/>
        <w:rPr>
          <w:sz w:val="20"/>
          <w:szCs w:val="20"/>
          <w:color w:val="auto"/>
        </w:rPr>
      </w:pPr>
    </w:p>
    <w:p>
      <w:pPr>
        <w:jc w:val="both"/>
        <w:ind w:right="80" w:firstLine="360"/>
        <w:spacing w:after="0" w:line="259" w:lineRule="auto"/>
        <w:rPr>
          <w:sz w:val="20"/>
          <w:szCs w:val="20"/>
          <w:color w:val="auto"/>
        </w:rPr>
      </w:pPr>
      <w:r>
        <w:rPr>
          <w:rFonts w:ascii="Times New Roman" w:cs="Times New Roman" w:eastAsia="Times New Roman" w:hAnsi="Times New Roman"/>
          <w:sz w:val="20"/>
          <w:szCs w:val="20"/>
          <w:color w:val="auto"/>
        </w:rPr>
        <w:t>The pre-funded warrants are being offered in lieu of shares of common stock and each pre-funded warrants is exercisable for one share of common stock at an exercise price of $0.0001 per share. The pre-funded warrants are immediately exercisable after issuance and may be exercised at any time until all of the pre-funded warrants are exercised in full.</w:t>
      </w:r>
    </w:p>
    <w:p>
      <w:pPr>
        <w:spacing w:after="0" w:line="105" w:lineRule="exact"/>
        <w:rPr>
          <w:sz w:val="20"/>
          <w:szCs w:val="20"/>
          <w:color w:val="auto"/>
        </w:rPr>
      </w:pPr>
    </w:p>
    <w:p>
      <w:pPr>
        <w:ind w:right="120" w:firstLine="360"/>
        <w:spacing w:after="0" w:line="253" w:lineRule="auto"/>
        <w:rPr>
          <w:sz w:val="20"/>
          <w:szCs w:val="20"/>
          <w:color w:val="auto"/>
        </w:rPr>
      </w:pPr>
      <w:r>
        <w:rPr>
          <w:rFonts w:ascii="Times New Roman" w:cs="Times New Roman" w:eastAsia="Times New Roman" w:hAnsi="Times New Roman"/>
          <w:sz w:val="20"/>
          <w:szCs w:val="20"/>
          <w:color w:val="auto"/>
        </w:rPr>
        <w:t>Each Warrant is exercisable for the number of shares or pre-funded warrants purchased by each Investor under the Securities Purchase Agreement (but excluding any shares issuable upon the exercise of the True-Up Warrants), at an exercise price of $ 1.09392 per share and may only be exercised for cash. The warrants are immediately exercisable after issuance and may be exercised at any time until the five-year anniversary of the Second Closing.</w:t>
      </w:r>
    </w:p>
    <w:p>
      <w:pPr>
        <w:spacing w:after="0" w:line="109" w:lineRule="exact"/>
        <w:rPr>
          <w:sz w:val="20"/>
          <w:szCs w:val="20"/>
          <w:color w:val="auto"/>
        </w:rPr>
      </w:pPr>
    </w:p>
    <w:p>
      <w:pPr>
        <w:ind w:right="100" w:firstLine="359"/>
        <w:spacing w:after="0" w:line="259" w:lineRule="auto"/>
        <w:rPr>
          <w:sz w:val="20"/>
          <w:szCs w:val="20"/>
          <w:color w:val="auto"/>
        </w:rPr>
      </w:pPr>
      <w:r>
        <w:rPr>
          <w:rFonts w:ascii="Times New Roman" w:cs="Times New Roman" w:eastAsia="Times New Roman" w:hAnsi="Times New Roman"/>
          <w:sz w:val="20"/>
          <w:szCs w:val="20"/>
          <w:color w:val="auto"/>
        </w:rPr>
        <w:t>Each True-Up Warrant is exercisable for one share of common stock at an exercise price of $0.0001 per share. The True-Up Warrants are immediately exercisable after issuance and may be exercised at any time until all of the True-Up Warrants are exercised in full.</w:t>
      </w:r>
    </w:p>
    <w:p>
      <w:pPr>
        <w:spacing w:after="0" w:line="106"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20"/>
          <w:szCs w:val="20"/>
          <w:color w:val="auto"/>
        </w:rPr>
        <w:t>The exercise prices and the number of shares issuable upon exercise of the pre-funded warrants, Warrants and True-Up Warrants are subject to customary adjustments in the case of stock dividends, stock splits, pro rata distributions, and similar events in respect of the common stock. In addition, the number of shares of the common stock underlying, and the exercise price of, the Warrants is subject to full ratchet antidilution protection and standard adjustments in the event of a share split, reverse share split, share dividend,</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10780"/>
          </w:cols>
          <w:pgMar w:left="540" w:top="1349" w:right="560" w:bottom="0" w:gutter="0" w:footer="0" w:header="0"/>
          <w:type w:val="continuous"/>
        </w:sectPr>
      </w:pPr>
    </w:p>
    <w:bookmarkStart w:id="104" w:name="page105"/>
    <w:bookmarkEnd w:id="104"/>
    <w:p>
      <w:pPr>
        <w:ind w:left="1" w:right="200"/>
        <w:spacing w:after="0" w:line="278" w:lineRule="auto"/>
        <w:rPr>
          <w:sz w:val="20"/>
          <w:szCs w:val="20"/>
          <w:color w:val="auto"/>
        </w:rPr>
      </w:pPr>
      <w:r>
        <w:rPr>
          <w:rFonts w:ascii="Times New Roman" w:cs="Times New Roman" w:eastAsia="Times New Roman" w:hAnsi="Times New Roman"/>
          <w:sz w:val="20"/>
          <w:szCs w:val="20"/>
          <w:color w:val="auto"/>
        </w:rPr>
        <w:t>share combination recapitalization or other similar transaction involving the common stock; provided, however, that in no event will the exercise price of the Warrants equal less than $0.30387 per share of common stock.</w:t>
      </w:r>
    </w:p>
    <w:p>
      <w:pPr>
        <w:spacing w:after="0" w:line="88" w:lineRule="exact"/>
        <w:rPr>
          <w:sz w:val="20"/>
          <w:szCs w:val="20"/>
          <w:color w:val="auto"/>
        </w:rPr>
      </w:pPr>
    </w:p>
    <w:p>
      <w:pPr>
        <w:ind w:left="1" w:right="120" w:firstLine="360"/>
        <w:spacing w:after="0" w:line="259" w:lineRule="auto"/>
        <w:rPr>
          <w:sz w:val="20"/>
          <w:szCs w:val="20"/>
          <w:color w:val="auto"/>
        </w:rPr>
      </w:pPr>
      <w:r>
        <w:rPr>
          <w:rFonts w:ascii="Times New Roman" w:cs="Times New Roman" w:eastAsia="Times New Roman" w:hAnsi="Times New Roman"/>
          <w:sz w:val="20"/>
          <w:szCs w:val="20"/>
          <w:color w:val="auto"/>
        </w:rPr>
        <w:t>Following approval of the PIPE Financing at the special meeting of the shareholders and the consummation of the Exchange, the Second Closing occurred on January 27, 2026 (the “Second Closing”). At the Second Closing, the Company issued 4,616,924 PIPE Pre-Funded Warrants, 6,581,829 PIPE Warrants and 6,581,829 True-Up Warrants to the Investors for gross proceeds of $4.2 million.</w:t>
      </w:r>
    </w:p>
    <w:p>
      <w:pPr>
        <w:spacing w:after="0" w:line="186" w:lineRule="exact"/>
        <w:rPr>
          <w:sz w:val="20"/>
          <w:szCs w:val="20"/>
          <w:color w:val="auto"/>
        </w:rPr>
      </w:pPr>
    </w:p>
    <w:p>
      <w:pPr>
        <w:ind w:left="361"/>
        <w:spacing w:after="0"/>
        <w:rPr>
          <w:sz w:val="20"/>
          <w:szCs w:val="20"/>
          <w:color w:val="auto"/>
        </w:rPr>
      </w:pPr>
      <w:r>
        <w:rPr>
          <w:rFonts w:ascii="Times New Roman" w:cs="Times New Roman" w:eastAsia="Times New Roman" w:hAnsi="Times New Roman"/>
          <w:sz w:val="20"/>
          <w:szCs w:val="20"/>
          <w:color w:val="auto"/>
        </w:rPr>
        <w:t>In connection with the First Closing, the Company determined that the PIPE Financing included derivative liabilities to issue a</w:t>
      </w:r>
    </w:p>
    <w:p>
      <w:pPr>
        <w:spacing w:after="0" w:line="2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variable number of warrants at a future date, and as such, recorded a derivative liability for the tranche right obligation to issue pre-</w:t>
      </w:r>
    </w:p>
    <w:p>
      <w:pPr>
        <w:ind w:left="1"/>
        <w:spacing w:after="0"/>
        <w:rPr>
          <w:sz w:val="20"/>
          <w:szCs w:val="20"/>
          <w:color w:val="auto"/>
        </w:rPr>
      </w:pPr>
      <w:r>
        <w:rPr>
          <w:rFonts w:ascii="Times New Roman" w:cs="Times New Roman" w:eastAsia="Times New Roman" w:hAnsi="Times New Roman"/>
          <w:sz w:val="20"/>
          <w:szCs w:val="20"/>
          <w:color w:val="auto"/>
        </w:rPr>
        <w:t>funded warrants, PIPE Warrants, and True-Up Warrants with a fair value in excess of the cash proceeds to be received upon the</w:t>
      </w:r>
    </w:p>
    <w:p>
      <w:pPr>
        <w:ind w:left="1"/>
        <w:spacing w:after="0"/>
        <w:rPr>
          <w:sz w:val="20"/>
          <w:szCs w:val="20"/>
          <w:color w:val="auto"/>
        </w:rPr>
      </w:pPr>
      <w:r>
        <w:rPr>
          <w:rFonts w:ascii="Times New Roman" w:cs="Times New Roman" w:eastAsia="Times New Roman" w:hAnsi="Times New Roman"/>
          <w:sz w:val="20"/>
          <w:szCs w:val="20"/>
          <w:color w:val="auto"/>
        </w:rPr>
        <w:t>Second Closing. For the First Closing, proceeds were allocated to the derivative liability based on the fair value as of grant date of</w:t>
      </w:r>
    </w:p>
    <w:p>
      <w:pPr>
        <w:ind w:left="1"/>
        <w:spacing w:after="0"/>
        <w:rPr>
          <w:sz w:val="20"/>
          <w:szCs w:val="20"/>
          <w:color w:val="auto"/>
        </w:rPr>
      </w:pPr>
      <w:r>
        <w:rPr>
          <w:rFonts w:ascii="Times New Roman" w:cs="Times New Roman" w:eastAsia="Times New Roman" w:hAnsi="Times New Roman"/>
          <w:sz w:val="20"/>
          <w:szCs w:val="20"/>
          <w:color w:val="auto"/>
        </w:rPr>
        <w:t>$12.4 million. As the fair value of the tranche right obligation is greater than the proceeds received, the Company recognized a loss on</w:t>
      </w:r>
    </w:p>
    <w:p>
      <w:pPr>
        <w:ind w:left="1"/>
        <w:spacing w:after="0"/>
        <w:rPr>
          <w:sz w:val="20"/>
          <w:szCs w:val="20"/>
          <w:color w:val="auto"/>
        </w:rPr>
      </w:pPr>
      <w:r>
        <w:rPr>
          <w:rFonts w:ascii="Times New Roman" w:cs="Times New Roman" w:eastAsia="Times New Roman" w:hAnsi="Times New Roman"/>
          <w:sz w:val="20"/>
          <w:szCs w:val="20"/>
          <w:color w:val="auto"/>
        </w:rPr>
        <w:t>derivative liability issued of $10.6 million. Additionally, the subsequent changes in fair value of the derivative liability was a loss of</w:t>
      </w:r>
    </w:p>
    <w:p>
      <w:pPr>
        <w:ind w:left="1"/>
        <w:spacing w:after="0"/>
        <w:rPr>
          <w:sz w:val="20"/>
          <w:szCs w:val="20"/>
          <w:color w:val="auto"/>
        </w:rPr>
      </w:pPr>
      <w:r>
        <w:rPr>
          <w:rFonts w:ascii="Times New Roman" w:cs="Times New Roman" w:eastAsia="Times New Roman" w:hAnsi="Times New Roman"/>
          <w:sz w:val="20"/>
          <w:szCs w:val="20"/>
          <w:color w:val="auto"/>
        </w:rPr>
        <w:t>$2.5 million and was recorded in the consolidated statement of operations and comprehensive (loss) income for the year ended</w:t>
      </w:r>
    </w:p>
    <w:p>
      <w:pPr>
        <w:ind w:left="1"/>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07" w:lineRule="exact"/>
        <w:rPr>
          <w:sz w:val="20"/>
          <w:szCs w:val="20"/>
          <w:color w:val="auto"/>
        </w:rPr>
      </w:pPr>
    </w:p>
    <w:p>
      <w:pPr>
        <w:ind w:left="1"/>
        <w:spacing w:after="0"/>
        <w:tabs>
          <w:tab w:leader="none" w:pos="781" w:val="left"/>
        </w:tabs>
        <w:rPr>
          <w:sz w:val="20"/>
          <w:szCs w:val="20"/>
          <w:color w:val="auto"/>
        </w:rPr>
      </w:pPr>
      <w:r>
        <w:rPr>
          <w:rFonts w:ascii="Times New Roman" w:cs="Times New Roman" w:eastAsia="Times New Roman" w:hAnsi="Times New Roman"/>
          <w:sz w:val="20"/>
          <w:szCs w:val="20"/>
          <w:b w:val="1"/>
          <w:bCs w:val="1"/>
          <w:color w:val="auto"/>
        </w:rPr>
        <w:t>Note 5.</w:t>
        <w:tab/>
        <w:t>Daewoong Convertible Notes</w:t>
      </w:r>
    </w:p>
    <w:p>
      <w:pPr>
        <w:spacing w:after="0" w:line="244" w:lineRule="exact"/>
        <w:rPr>
          <w:sz w:val="20"/>
          <w:szCs w:val="20"/>
          <w:color w:val="auto"/>
        </w:rPr>
      </w:pPr>
    </w:p>
    <w:p>
      <w:pPr>
        <w:ind w:left="1" w:right="60" w:firstLine="361"/>
        <w:spacing w:after="0" w:line="244" w:lineRule="auto"/>
        <w:rPr>
          <w:sz w:val="20"/>
          <w:szCs w:val="20"/>
          <w:color w:val="auto"/>
        </w:rPr>
      </w:pPr>
      <w:r>
        <w:rPr>
          <w:rFonts w:ascii="Times New Roman" w:cs="Times New Roman" w:eastAsia="Times New Roman" w:hAnsi="Times New Roman"/>
          <w:sz w:val="20"/>
          <w:szCs w:val="20"/>
          <w:color w:val="auto"/>
        </w:rPr>
        <w:t>On March 19, 2024, the Company entered into a subscription agreement with Daewoong (the “Subscription Agreement”) relating to the sale and issuance by the Company of senior secured convertible notes (each, a “2024 Convertible Note” and together, the “Existing Notes”) in the principal amount of up to $15.0 million, which are convertible into shares of the Company’s common stock, subject to certain conditions and limitations set forth in each Convertible Note. Each Convertible Note contains customary events of default, accrues interest at an annual rate of 15.79% and has a maturity date that is three years from the funding date, unless earlier repurchased, converted or redeemed in accordance with its terms prior to such date. Pursuant to the terms of the Subscription Agreement, on March 24, 2024, the Company issued and sold to Daewoong one Convertible Note in the principal amount of $5.0 million, and on April 12, 2024, the Company issued and sold to Daewoong one Convertible Note in the principal amount of $10.0 million.</w:t>
      </w:r>
    </w:p>
    <w:p>
      <w:pPr>
        <w:spacing w:after="0" w:line="206" w:lineRule="exact"/>
        <w:rPr>
          <w:sz w:val="20"/>
          <w:szCs w:val="20"/>
          <w:color w:val="auto"/>
        </w:rPr>
      </w:pPr>
    </w:p>
    <w:p>
      <w:pPr>
        <w:ind w:left="361"/>
        <w:spacing w:after="0"/>
        <w:rPr>
          <w:sz w:val="20"/>
          <w:szCs w:val="20"/>
          <w:color w:val="auto"/>
        </w:rPr>
      </w:pPr>
      <w:r>
        <w:rPr>
          <w:rFonts w:ascii="Times New Roman" w:cs="Times New Roman" w:eastAsia="Times New Roman" w:hAnsi="Times New Roman"/>
          <w:sz w:val="20"/>
          <w:szCs w:val="20"/>
          <w:color w:val="auto"/>
        </w:rPr>
        <w:t>On March 19, 2024, the Company entered into a Fourth Amendment to the License Agreement (the “License Agreement</w:t>
      </w:r>
    </w:p>
    <w:p>
      <w:pPr>
        <w:spacing w:after="0" w:line="2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Amendment”) with Daewoong, which amends that certain License and Supply Agreement, by and between the Company and</w:t>
      </w:r>
    </w:p>
    <w:p>
      <w:pPr>
        <w:ind w:left="1"/>
        <w:spacing w:after="0"/>
        <w:rPr>
          <w:sz w:val="20"/>
          <w:szCs w:val="20"/>
          <w:color w:val="auto"/>
        </w:rPr>
      </w:pPr>
      <w:r>
        <w:rPr>
          <w:rFonts w:ascii="Times New Roman" w:cs="Times New Roman" w:eastAsia="Times New Roman" w:hAnsi="Times New Roman"/>
          <w:sz w:val="20"/>
          <w:szCs w:val="20"/>
          <w:color w:val="auto"/>
        </w:rPr>
        <w:t>Daewoong, dated December 20, 2019, as previously amended on July 29, 2022, January 8, 2023 and April 24, 2023 (the “License</w:t>
      </w:r>
    </w:p>
    <w:p>
      <w:pPr>
        <w:ind w:left="1"/>
        <w:spacing w:after="0"/>
        <w:rPr>
          <w:sz w:val="20"/>
          <w:szCs w:val="20"/>
          <w:color w:val="auto"/>
        </w:rPr>
      </w:pPr>
      <w:r>
        <w:rPr>
          <w:rFonts w:ascii="Times New Roman" w:cs="Times New Roman" w:eastAsia="Times New Roman" w:hAnsi="Times New Roman"/>
          <w:sz w:val="20"/>
          <w:szCs w:val="20"/>
          <w:color w:val="auto"/>
        </w:rPr>
        <w:t>Agreement”). Pursuant to the terms of the License Agreement Amendment, the License Agreement will terminate if, over any</w:t>
      </w:r>
    </w:p>
    <w:p>
      <w:pPr>
        <w:ind w:left="1"/>
        <w:spacing w:after="0"/>
        <w:rPr>
          <w:sz w:val="20"/>
          <w:szCs w:val="20"/>
          <w:color w:val="auto"/>
        </w:rPr>
      </w:pPr>
      <w:r>
        <w:rPr>
          <w:rFonts w:ascii="Times New Roman" w:cs="Times New Roman" w:eastAsia="Times New Roman" w:hAnsi="Times New Roman"/>
          <w:sz w:val="20"/>
          <w:szCs w:val="20"/>
          <w:color w:val="auto"/>
        </w:rPr>
        <w:t>six month period, (a) the Company ceases to commercialize ABP-450 in certain territories specified in the License Agreement and</w:t>
      </w:r>
    </w:p>
    <w:p>
      <w:pPr>
        <w:ind w:left="1" w:right="260" w:hanging="1"/>
        <w:spacing w:after="0" w:line="241" w:lineRule="auto"/>
        <w:tabs>
          <w:tab w:leader="none" w:pos="28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ceases to advance any clinical studies of ABP-450 in such territories. The License Agreement Amendment also provides that, in the event that the License Agreement is terminated for the foregoing reasons, Daewoong will have the right to purchase all Know-How (as defined in the License Agreement) related to ABP-450 for a price of $1.00 (the “Termination Purchase Right”). The Termination Purchase Right will terminate and expire upon Daewoong’s sale of 50% of its common stock, including common stock held by its affiliates and common stock that would be issued upon an Automatic Conversion or Optional Conversion (as defined in the Existing Notes).</w:t>
      </w:r>
    </w:p>
    <w:p>
      <w:pPr>
        <w:spacing w:after="0" w:line="207" w:lineRule="exact"/>
        <w:rPr>
          <w:sz w:val="20"/>
          <w:szCs w:val="20"/>
          <w:color w:val="auto"/>
        </w:rPr>
      </w:pPr>
    </w:p>
    <w:p>
      <w:pPr>
        <w:ind w:left="1" w:right="320" w:firstLine="360"/>
        <w:spacing w:after="0" w:line="260" w:lineRule="auto"/>
        <w:rPr>
          <w:sz w:val="20"/>
          <w:szCs w:val="20"/>
          <w:color w:val="auto"/>
        </w:rPr>
      </w:pPr>
      <w:r>
        <w:rPr>
          <w:rFonts w:ascii="Times New Roman" w:cs="Times New Roman" w:eastAsia="Times New Roman" w:hAnsi="Times New Roman"/>
          <w:sz w:val="19"/>
          <w:szCs w:val="19"/>
          <w:color w:val="auto"/>
        </w:rPr>
        <w:t>On November 12, 2025, the Company entered into a binding term sheet (the “Term Sheet”) with Daewoong relating to the exchange (the “Exchange”) of the outstanding senior secured convertible notes of the Company held by Daewoong (the “Existing Notes”). On December 15, 2025, the Company entered into an Exchange Agreement (the “Exchange Agreement”) with Daewoong consistent with the terms of the Term Sheet pursuant to which the Existing Notes held by Daewoong would be exchanged for</w:t>
      </w:r>
    </w:p>
    <w:p>
      <w:pPr>
        <w:spacing w:after="0" w:line="1" w:lineRule="exact"/>
        <w:rPr>
          <w:sz w:val="20"/>
          <w:szCs w:val="20"/>
          <w:color w:val="auto"/>
        </w:rPr>
      </w:pPr>
    </w:p>
    <w:p>
      <w:pPr>
        <w:ind w:left="1" w:hanging="1"/>
        <w:spacing w:after="0"/>
        <w:tabs>
          <w:tab w:leader="none" w:pos="24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newly issued shares of common stock of the Company equal to (x) the principal and accrued interest of the Existing Notes as of the closing of the Exchange less (y) the principal amount of the New Convertible Note (as defined below), divided by $1.00, and then multiplied by 1.3 (and rounded down to the nearest whole share of common stock) and/or pre-funded warrants to purchase shares of common stock (the “Pre-Funded Warrants”) in lieu of any shares of common stock that would result in Daewoong’s beneficial ownership of common stock exceeding 49.99% (the “Exchange Shares”), (ii) a new senior secured convertible note for $1.5 million (the “New Convertible Note”), and (iii) warrants to purchase up to 8 million shares of common stock at an exercise price of $1.09392 per share (the “Daewoong Warrant”). At the closing of the Exchange, the number of Exchange Shares issued was 11,918,380 shares of common stock and 11,236,631 Daewoong Pre-Funded Warrants. Upon the closing of the Exchange, the Existing Notes were immediately and automatically terminated. The Daewoong Warrants, which contain the same terms as the PIPE Warrants, are exercisable at an exercise price of $1.09392 per share and may only be exercised for cash. The Daewoong Warrants are immediately exercisable after issuance and may be exercised at any time until the five-year anniversary of the Second Closing. The Exchange was approved at the special meeting of shareholders on January 21, 2026.</w:t>
      </w:r>
    </w:p>
    <w:p>
      <w:pPr>
        <w:sectPr>
          <w:pgSz w:w="11880" w:h="15480" w:orient="portrait"/>
          <w:cols w:equalWidth="0" w:num="1">
            <w:col w:w="10801"/>
          </w:cols>
          <w:pgMar w:left="539" w:top="1349" w:right="54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10801"/>
          </w:cols>
          <w:pgMar w:left="539" w:top="1349" w:right="540" w:bottom="0" w:gutter="0" w:footer="0" w:header="0"/>
          <w:type w:val="continuous"/>
        </w:sectPr>
      </w:pPr>
    </w:p>
    <w:bookmarkStart w:id="105" w:name="page106"/>
    <w:bookmarkEnd w:id="105"/>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The Exchange Agreement provided that the Company nominate one designee of Daewoong to the Company’s board of directors to serve as a Class III director at the 2026 annual meeting of stockholders, of which the director designee is currently Seongsoo Park. Mr. Park currently serves on the Company’s board of directors and is scheduled for renomination at the 2026 annual meeting of stockholders.</w:t>
      </w:r>
    </w:p>
    <w:p>
      <w:pPr>
        <w:spacing w:after="0" w:line="110" w:lineRule="exact"/>
        <w:rPr>
          <w:sz w:val="20"/>
          <w:szCs w:val="20"/>
          <w:color w:val="auto"/>
        </w:rPr>
      </w:pPr>
    </w:p>
    <w:p>
      <w:pPr>
        <w:ind w:right="80" w:firstLine="360"/>
        <w:spacing w:after="0" w:line="259" w:lineRule="auto"/>
        <w:rPr>
          <w:sz w:val="20"/>
          <w:szCs w:val="20"/>
          <w:color w:val="auto"/>
        </w:rPr>
      </w:pPr>
      <w:r>
        <w:rPr>
          <w:rFonts w:ascii="Times New Roman" w:cs="Times New Roman" w:eastAsia="Times New Roman" w:hAnsi="Times New Roman"/>
          <w:sz w:val="20"/>
          <w:szCs w:val="20"/>
          <w:color w:val="auto"/>
        </w:rPr>
        <w:t>During the year ended December 31, 2025, the Company recognized $22.9 million of loss related to the increase in the fair value of the 2024 Daewoong Convertible Note. As of December 31, 2025, the principal amount outstanding under the 2024 Daewoong Convertible Note was $15.0 million, with an estimated fair value of $34.6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New Convertible Note</w:t>
      </w:r>
    </w:p>
    <w:p>
      <w:pPr>
        <w:spacing w:after="0" w:line="157"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The New Convertible Note issued on January 21, 2026, contains customary events of default, accrue interest at an annual rate of 15.79% payable in cash at maturity and has a maturity date of April 12, 2030 (the “New Maturity Date”), unless earlier converted or redeemed in accordance with its terms prior to such date. The Company may not prepay the New Convertible Note or accrued interest prior to the New Maturity Date.</w:t>
      </w:r>
    </w:p>
    <w:p>
      <w:pPr>
        <w:spacing w:after="0" w:line="114" w:lineRule="exact"/>
        <w:rPr>
          <w:sz w:val="20"/>
          <w:szCs w:val="20"/>
          <w:color w:val="auto"/>
        </w:rPr>
      </w:pPr>
    </w:p>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If, prior to the New Maturity Date, the Company consummates a bona-fide third-party financing after the issuance of the New Convertible Note in the form of common stock or any securities convertible into, or exchangeable or exercisable for, common stock (subject to certain exceptions as described in the New Convertible Note), in one or more transactions or a series of related and substantially similar and simultaneous transactions at the same purchase price from third parties unaffiliated with Daewoong and its affiliates, for aggregate gross cash proceeds to the Company of at least $30.0 million (a “Qualified Financing”), then, upon written notice thereof to Daewoong by the Company, on the closing date of such Qualified Financing, the New Convertible Note will automatically convert in whole, without any further action by Daewoong, into a number of shares of common stock or pre-funded warrants equal to: (i) one and three tenths (1.3) multiplied by (ii) the quotient of (a) the principal amount of the New Convertible Note and all accrued and unpaid interest to be converted divided by (b) the per share price of the common stock sold in the Qualified Financing.</w:t>
      </w:r>
    </w:p>
    <w:p>
      <w:pPr>
        <w:spacing w:after="0" w:line="122"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If, prior to the New Maturity Date, the Company provides (i) written notice to Daewoong that it has publicly announced the submission of a Biologics License Application filing for ABP-450 as a biosimilar to Botox® (onabotulinumtoxinA) or (ii) a written notice that the Company has consummated a Change of Control (as defined in the New Convertible Note), Daewoong will have the right for thirty (30) days following receipt of either such notice, at Daewoong’s option (the “Optional Conversion”), to convert all (but not less than all) of the remaining outstanding portion of the New Convertible Note (subject to any limitations under the rules of NYSE American) into an amount of shares of common stock or pre-funded warrants equal to: (i) one and three tenths (1.3) multiplied by (ii) the quotient of (a) the principal amount of the New Convertible Note and all accrued and unpaid interest to be converted divided by (b) the volume-weighted average trading per share price of common stock over the five (5) trading days prior to the Company’s receipt of Daewoong’s written notice of exercise of the Optional Conversion.</w:t>
      </w:r>
    </w:p>
    <w:p>
      <w:pPr>
        <w:spacing w:after="0" w:line="126" w:lineRule="exact"/>
        <w:rPr>
          <w:sz w:val="20"/>
          <w:szCs w:val="20"/>
          <w:color w:val="auto"/>
        </w:rPr>
      </w:pPr>
    </w:p>
    <w:p>
      <w:pPr>
        <w:ind w:right="120" w:firstLine="360"/>
        <w:spacing w:after="0" w:line="249" w:lineRule="auto"/>
        <w:rPr>
          <w:sz w:val="20"/>
          <w:szCs w:val="20"/>
          <w:color w:val="auto"/>
        </w:rPr>
      </w:pPr>
      <w:r>
        <w:rPr>
          <w:rFonts w:ascii="Times New Roman" w:cs="Times New Roman" w:eastAsia="Times New Roman" w:hAnsi="Times New Roman"/>
          <w:sz w:val="20"/>
          <w:szCs w:val="20"/>
          <w:color w:val="auto"/>
        </w:rPr>
        <w:t>The New Convertible Note includes a covenant that restrict the Company and AEON Sub’s ability to issue debt securities senior or pari passu to such New Convertible Note without Daewoong’s prior written consent. The New Convertible Note also include a covenant that restricts the Company and AEON Sub’s ability to issue debt securities junior to such New Convertible Note except as expressly permitted under a security agreement to be entered into between the Company, AEON Sub and Daewoong in connection with closing of the Exchange.</w:t>
      </w:r>
    </w:p>
    <w:p>
      <w:pPr>
        <w:spacing w:after="0" w:line="118" w:lineRule="exact"/>
        <w:rPr>
          <w:sz w:val="20"/>
          <w:szCs w:val="20"/>
          <w:color w:val="auto"/>
        </w:rPr>
      </w:pPr>
    </w:p>
    <w:p>
      <w:pPr>
        <w:ind w:right="120" w:firstLine="360"/>
        <w:spacing w:after="0" w:line="252" w:lineRule="auto"/>
        <w:rPr>
          <w:sz w:val="20"/>
          <w:szCs w:val="20"/>
          <w:color w:val="auto"/>
        </w:rPr>
      </w:pPr>
      <w:r>
        <w:rPr>
          <w:rFonts w:ascii="Times New Roman" w:cs="Times New Roman" w:eastAsia="Times New Roman" w:hAnsi="Times New Roman"/>
          <w:sz w:val="20"/>
          <w:szCs w:val="20"/>
          <w:color w:val="auto"/>
        </w:rPr>
        <w:t>In connection with issuing the New Convertible Note, the Company and AEON Sub granted a first-priority security interest on substantially all of their respective assets, other than certain permitted liens described in the New Convertible Note. Upon the occurrence and continuation of an event of default, Daewoong will be entitled to, among other things, foreclose on the assets that are the subject of the security interest.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Pre-Funded Warrants and common stock Warrants</w:t>
      </w:r>
    </w:p>
    <w:p>
      <w:pPr>
        <w:spacing w:after="0" w:line="158" w:lineRule="exact"/>
        <w:rPr>
          <w:sz w:val="20"/>
          <w:szCs w:val="20"/>
          <w:color w:val="auto"/>
        </w:rPr>
      </w:pPr>
    </w:p>
    <w:p>
      <w:pPr>
        <w:ind w:right="140" w:firstLine="360"/>
        <w:spacing w:after="0" w:line="252" w:lineRule="auto"/>
        <w:rPr>
          <w:sz w:val="20"/>
          <w:szCs w:val="20"/>
          <w:color w:val="auto"/>
        </w:rPr>
      </w:pPr>
      <w:r>
        <w:rPr>
          <w:rFonts w:ascii="Times New Roman" w:cs="Times New Roman" w:eastAsia="Times New Roman" w:hAnsi="Times New Roman"/>
          <w:sz w:val="20"/>
          <w:szCs w:val="20"/>
          <w:color w:val="auto"/>
        </w:rPr>
        <w:t>Under the Exchange Agreement and the New Convertible Note, pre-funded warrants may be issued in lieu of shares of common stock and each pre-funded warrant is exercisable for one share of common stock at an exercise price of $0.0001 per share. The pre-funded warrants are immediately exercisable after issuance and may be exercised at any time until all of the pre-funded warrants are exercised in full.</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Daewoong Warrants are substantially identical to the PIPE Warrants, which are exercisable at an exercise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$1.09392 per share and may only be exercised for cash. The Daewoong Warrants are immediately exercisable after issuance and may</w:t>
      </w:r>
    </w:p>
    <w:p>
      <w:pPr>
        <w:spacing w:after="0"/>
        <w:rPr>
          <w:sz w:val="20"/>
          <w:szCs w:val="20"/>
          <w:color w:val="auto"/>
        </w:rPr>
      </w:pPr>
      <w:r>
        <w:rPr>
          <w:rFonts w:ascii="Times New Roman" w:cs="Times New Roman" w:eastAsia="Times New Roman" w:hAnsi="Times New Roman"/>
          <w:sz w:val="20"/>
          <w:szCs w:val="20"/>
          <w:color w:val="auto"/>
        </w:rPr>
        <w:t>be exercisable at any time until the five-year anniversary of issuance.</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10760"/>
          </w:cols>
          <w:pgMar w:left="540" w:top="1349" w:right="580" w:bottom="0" w:gutter="0" w:footer="0" w:header="0"/>
          <w:type w:val="continuous"/>
        </w:sectPr>
      </w:pPr>
    </w:p>
    <w:bookmarkStart w:id="106" w:name="page107"/>
    <w:bookmarkEnd w:id="106"/>
    <w:p>
      <w:pPr>
        <w:ind w:firstLine="360"/>
        <w:spacing w:after="0" w:line="249" w:lineRule="auto"/>
        <w:rPr>
          <w:sz w:val="20"/>
          <w:szCs w:val="20"/>
          <w:color w:val="auto"/>
        </w:rPr>
      </w:pPr>
      <w:r>
        <w:rPr>
          <w:rFonts w:ascii="Times New Roman" w:cs="Times New Roman" w:eastAsia="Times New Roman" w:hAnsi="Times New Roman"/>
          <w:sz w:val="20"/>
          <w:szCs w:val="20"/>
          <w:color w:val="auto"/>
        </w:rPr>
        <w:t>The exercise prices and the number of shares issuable upon exercise of the pre-funded warrants and the common stock warrant are subject to customary adjustments in the case of stock dividends, stock splits, pro rata distributions, and similar events in respect of the common stock. In addition, the number of shares of the common stock underlying, and the exercise price of, the Daewoong Warrants will be subject to full ratchet antidilution protection and standard adjustments in the event of a share split, reverse share split, share dividend, share combination recapitalization or other similar transaction involving the common stock.</w:t>
      </w:r>
    </w:p>
    <w:p>
      <w:pPr>
        <w:spacing w:after="0" w:line="19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Note 6.</w:t>
      </w:r>
      <w:r>
        <w:rPr>
          <w:sz w:val="20"/>
          <w:szCs w:val="20"/>
          <w:color w:val="auto"/>
        </w:rPr>
        <w:tab/>
      </w:r>
      <w:r>
        <w:rPr>
          <w:rFonts w:ascii="Times New Roman" w:cs="Times New Roman" w:eastAsia="Times New Roman" w:hAnsi="Times New Roman"/>
          <w:sz w:val="19"/>
          <w:szCs w:val="19"/>
          <w:b w:val="1"/>
          <w:bCs w:val="1"/>
          <w:color w:val="auto"/>
        </w:rPr>
        <w:t>Fair Value Measurements</w:t>
      </w:r>
    </w:p>
    <w:p>
      <w:pPr>
        <w:spacing w:after="0" w:line="243" w:lineRule="exact"/>
        <w:rPr>
          <w:sz w:val="20"/>
          <w:szCs w:val="20"/>
          <w:color w:val="auto"/>
        </w:rPr>
      </w:pPr>
    </w:p>
    <w:p>
      <w:pPr>
        <w:ind w:right="280" w:firstLine="360"/>
        <w:spacing w:after="0" w:line="278" w:lineRule="auto"/>
        <w:rPr>
          <w:sz w:val="20"/>
          <w:szCs w:val="20"/>
          <w:color w:val="auto"/>
        </w:rPr>
      </w:pPr>
      <w:r>
        <w:rPr>
          <w:rFonts w:ascii="Times New Roman" w:cs="Times New Roman" w:eastAsia="Times New Roman" w:hAnsi="Times New Roman"/>
          <w:sz w:val="20"/>
          <w:szCs w:val="20"/>
          <w:color w:val="auto"/>
        </w:rPr>
        <w:t>The Company measures fair value based on the prices that would be received to sell an asset or paid to transfer a liability in an orderly transaction between market participants at the measurement date.</w:t>
      </w:r>
    </w:p>
    <w:p>
      <w:pPr>
        <w:spacing w:after="0" w:line="168"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The carrying value of cash, cash equivalents, accounts payable and accrued liabilities approximate fair value because of the short-term nature of those instruments. The following are other financial assets and liabilities that are measured at fair value on a recurring basis.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Convertible Notes at Fair Value</w:t>
      </w:r>
    </w:p>
    <w:p>
      <w:pPr>
        <w:spacing w:after="0" w:line="117" w:lineRule="exact"/>
        <w:rPr>
          <w:sz w:val="20"/>
          <w:szCs w:val="20"/>
          <w:color w:val="auto"/>
        </w:rPr>
      </w:pPr>
    </w:p>
    <w:p>
      <w:pPr>
        <w:ind w:right="600" w:firstLine="360"/>
        <w:spacing w:after="0" w:line="278" w:lineRule="auto"/>
        <w:rPr>
          <w:sz w:val="20"/>
          <w:szCs w:val="20"/>
          <w:color w:val="auto"/>
        </w:rPr>
      </w:pPr>
      <w:r>
        <w:rPr>
          <w:rFonts w:ascii="Times New Roman" w:cs="Times New Roman" w:eastAsia="Times New Roman" w:hAnsi="Times New Roman"/>
          <w:sz w:val="20"/>
          <w:szCs w:val="20"/>
          <w:color w:val="auto"/>
        </w:rPr>
        <w:t>Due to certain embedded features within the convertible notes, the Company elected the fair value option to account for its convertible notes, including any paid-in-kind principal and interest, and the embedded features.</w:t>
      </w:r>
    </w:p>
    <w:p>
      <w:pPr>
        <w:spacing w:after="0" w:line="167"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recognized $22.9 million and $(3.3) million, respectively, of expense (income) related to the increase (decrease) in fair value of the convertible notes. As of December 31, 2025, the principal amount outstanding under the convertible notes was $15.0 million, with an estimated fair value of $34.6 million. See Note 5 Daewoong Convertible Notes for more information.</w:t>
      </w:r>
    </w:p>
    <w:p>
      <w:pPr>
        <w:spacing w:after="0" w:line="191"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The fair value of the convertible notes was determined based on Level 3 inputs using a scenario-based analysis that estimated the fair value of the convertible notes based on the probability-weighted present value of expected future investment returns, considering each of the possible outcomes available to the noteholders, including various qualified financings, corporate transaction and dissolution scenarios. The significant unobservable input assumptions that can significantly change the fair value included (i) the discount rates, (ii) the timing of payments, and (iii) the probability of certain settlement scenarios.</w:t>
      </w:r>
    </w:p>
    <w:p>
      <w:pPr>
        <w:spacing w:after="0" w:line="197" w:lineRule="exact"/>
        <w:rPr>
          <w:sz w:val="20"/>
          <w:szCs w:val="20"/>
          <w:color w:val="auto"/>
        </w:rPr>
      </w:pPr>
    </w:p>
    <w:p>
      <w:pPr>
        <w:ind w:right="560" w:firstLine="360"/>
        <w:spacing w:after="0" w:line="249" w:lineRule="auto"/>
        <w:rPr>
          <w:sz w:val="20"/>
          <w:szCs w:val="20"/>
          <w:color w:val="auto"/>
        </w:rPr>
      </w:pPr>
      <w:r>
        <w:rPr>
          <w:rFonts w:ascii="Times New Roman" w:cs="Times New Roman" w:eastAsia="Times New Roman" w:hAnsi="Times New Roman"/>
          <w:sz w:val="20"/>
          <w:szCs w:val="20"/>
          <w:color w:val="auto"/>
        </w:rPr>
        <w:t>At December 31, 2025, the significant assumptions applied in the valuation of the convertible notes included discount rates ranging from 15% to 53%, an underlying stock price of $1.10, and probability weightings of 95% for approval of the Exchange transaction and 5% for a hold-to-maturity scenario. At December 31, 2024, the valuation of the convertible notes was based on significant assumptions, including a 60% discount rate and probability-weighted outcomes for the hold-to-maturity, qualified financing, and change-in-control scenarios.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Contingent Consideration and Contingent Founder Shares</w:t>
      </w:r>
    </w:p>
    <w:p>
      <w:pPr>
        <w:spacing w:after="0" w:line="117" w:lineRule="exact"/>
        <w:rPr>
          <w:sz w:val="20"/>
          <w:szCs w:val="20"/>
          <w:color w:val="auto"/>
        </w:rPr>
      </w:pPr>
    </w:p>
    <w:p>
      <w:pPr>
        <w:ind w:right="160" w:firstLine="360"/>
        <w:spacing w:after="0" w:line="249" w:lineRule="auto"/>
        <w:rPr>
          <w:sz w:val="20"/>
          <w:szCs w:val="20"/>
          <w:color w:val="auto"/>
        </w:rPr>
      </w:pPr>
      <w:r>
        <w:rPr>
          <w:rFonts w:ascii="Times New Roman" w:cs="Times New Roman" w:eastAsia="Times New Roman" w:hAnsi="Times New Roman"/>
          <w:sz w:val="20"/>
          <w:szCs w:val="20"/>
          <w:color w:val="auto"/>
        </w:rPr>
        <w:t>As part of the Merger, each share of Priveterra Class B common stock (“Founder Shares”), par value $0.0001 per share, issued and outstanding immediately prior to the Merger converted into one share of common stock totaling 95,842 common shares. In addition, at the Merger, certain holders of common stock in Old AEON (the “Participating Stockholders”) will be issued a portion of up to 222,653 additional shares of common stock. Therefore, the Contingent Founder Shares and Participating Stockholder shares (together, “Contingent Consideration Shares”) contain certain contingent provisions as further discussed below.</w:t>
      </w:r>
    </w:p>
    <w:p>
      <w:pPr>
        <w:spacing w:after="0" w:line="197"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Pursuant to the terms of the amended Sponsor Support Agreement, 50% of the Founder Shares (i.e., 47,921 Founder Shares) (the “Contingent Founder Shares”) were unvested and subject to the restrictions and forfeiture provisions set forth in this Sponsor Support Agreement, of which 13,980 of such Contingent Founder Shares were forfeited in the second quarter of 2025 as the result of a vesting event not occurring. The remaining 50% of the Founder Shares were not subject to such restrictions and forfeiture provisions. The remaining Contingent Founder Shares shall vest, and shall become free of the provisions as follows:</w:t>
      </w:r>
    </w:p>
    <w:p>
      <w:pPr>
        <w:spacing w:after="0" w:line="212" w:lineRule="exact"/>
        <w:rPr>
          <w:sz w:val="20"/>
          <w:szCs w:val="20"/>
          <w:color w:val="auto"/>
        </w:rPr>
      </w:pPr>
    </w:p>
    <w:p>
      <w:pPr>
        <w:ind w:left="720" w:right="20" w:hanging="361"/>
        <w:spacing w:after="0" w:line="262" w:lineRule="auto"/>
        <w:tabs>
          <w:tab w:leader="none" w:pos="72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13,890 of the Contingent Founder Shares (the “CD BLA Contingent Founder Shares”) shall vest upon the achievement of the conditions for the issuance of the CD BLA Contingent Consideration Shares on or prior to the CD BLA Outside Date; and</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10780"/>
          </w:cols>
          <w:pgMar w:left="540" w:top="1349" w:right="560" w:bottom="0" w:gutter="0" w:footer="0" w:header="0"/>
          <w:type w:val="continuous"/>
        </w:sectPr>
      </w:pPr>
    </w:p>
    <w:bookmarkStart w:id="107" w:name="page108"/>
    <w:bookmarkEnd w:id="107"/>
    <w:p>
      <w:pPr>
        <w:ind w:left="720" w:right="20" w:hanging="360"/>
        <w:spacing w:after="0" w:line="247" w:lineRule="auto"/>
        <w:tabs>
          <w:tab w:leader="none" w:pos="72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20,141 of the Contingent Founder Shares (the “Episodic/Chronic Migraine Contingent Founder Shares”) shall vest upon the earlier of (x) the achievement of the conditions for the issuance of the Episodic Migraine Contingent Consideration Shares on or before the Episodic Migraine Outside Date and (y) the achievement of the conditions for the issuance of the Chronic Migraine Contingent Consideration Shares on or before the Chronic Migraine Outside Date.</w:t>
      </w:r>
    </w:p>
    <w:p>
      <w:pPr>
        <w:spacing w:after="0" w:line="198" w:lineRule="exact"/>
        <w:rPr>
          <w:sz w:val="20"/>
          <w:szCs w:val="20"/>
          <w:color w:val="auto"/>
        </w:rPr>
      </w:pPr>
    </w:p>
    <w:p>
      <w:pPr>
        <w:ind w:right="20" w:firstLine="360"/>
        <w:spacing w:after="0" w:line="278" w:lineRule="auto"/>
        <w:rPr>
          <w:sz w:val="20"/>
          <w:szCs w:val="20"/>
          <w:color w:val="auto"/>
        </w:rPr>
      </w:pPr>
      <w:r>
        <w:rPr>
          <w:rFonts w:ascii="Times New Roman" w:cs="Times New Roman" w:eastAsia="Times New Roman" w:hAnsi="Times New Roman"/>
          <w:sz w:val="20"/>
          <w:szCs w:val="20"/>
          <w:color w:val="auto"/>
        </w:rPr>
        <w:t>The Priveterra Sponsor, LLC (the “Sponsor”) has agreed not to vote the Contingent Founder Shares during any period of time that such Contingent Founder Shares are subject to vesting.</w:t>
      </w:r>
    </w:p>
    <w:p>
      <w:pPr>
        <w:spacing w:after="0" w:line="167" w:lineRule="exact"/>
        <w:rPr>
          <w:sz w:val="20"/>
          <w:szCs w:val="20"/>
          <w:color w:val="auto"/>
        </w:rPr>
      </w:pPr>
    </w:p>
    <w:p>
      <w:pPr>
        <w:ind w:right="500" w:firstLine="360"/>
        <w:spacing w:after="0" w:line="278" w:lineRule="auto"/>
        <w:rPr>
          <w:sz w:val="20"/>
          <w:szCs w:val="20"/>
          <w:color w:val="auto"/>
        </w:rPr>
      </w:pPr>
      <w:r>
        <w:rPr>
          <w:rFonts w:ascii="Times New Roman" w:cs="Times New Roman" w:eastAsia="Times New Roman" w:hAnsi="Times New Roman"/>
          <w:sz w:val="20"/>
          <w:szCs w:val="20"/>
          <w:color w:val="auto"/>
        </w:rPr>
        <w:t>As part of the overall consideration paid in connection with the Merger, certain holders of common stock in Old AEON (the “Participating AEON Stockholders”) will be issued a portion of up to 222,653 additional shares of common stock, as follows:</w:t>
      </w:r>
    </w:p>
    <w:p>
      <w:pPr>
        <w:spacing w:after="0" w:line="181" w:lineRule="exact"/>
        <w:rPr>
          <w:sz w:val="20"/>
          <w:szCs w:val="20"/>
          <w:color w:val="auto"/>
        </w:rPr>
      </w:pPr>
    </w:p>
    <w:p>
      <w:pPr>
        <w:ind w:left="720" w:right="160" w:hanging="360"/>
        <w:spacing w:after="0" w:line="247" w:lineRule="auto"/>
        <w:tabs>
          <w:tab w:leader="none" w:pos="72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55,659 shares of common stock, in the aggregate, if, on or before November 30, 2026 (as it may be extended, the “CD BLA Outside Date”), the Company shall have received from the FDA acceptance for review of the BLA submitted by the Company for the treatment of cervical dystonia (such 55,659 shares of common stock, the “CD BLA Contingent Consideration Shares”);</w:t>
      </w:r>
    </w:p>
    <w:p>
      <w:pPr>
        <w:spacing w:after="0" w:line="212" w:lineRule="exact"/>
        <w:rPr>
          <w:rFonts w:ascii="Symbol" w:cs="Symbol" w:eastAsia="Symbol" w:hAnsi="Symbol"/>
          <w:sz w:val="20"/>
          <w:szCs w:val="20"/>
          <w:color w:val="auto"/>
        </w:rPr>
      </w:pPr>
    </w:p>
    <w:p>
      <w:pPr>
        <w:ind w:left="720" w:hanging="360"/>
        <w:spacing w:after="0" w:line="243" w:lineRule="auto"/>
        <w:tabs>
          <w:tab w:leader="none" w:pos="72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55,659 shares of common stock, in the aggregate, if, on or before June 30, 2029 (as it may be extended, the “Episodic Migraine Outside Date”), the Company shall have received from the FDA acceptance for review of the BLA submitted by the Company for the treatment of episodic migraine (such 55,659 shares of common stock, the “Episodic Migraine Contingent Consideration Shares”); provided that in the event the satisfaction of the conditions for the issuance of the Episodic Migraine Contingent Consideration Shares occurs prior to the satisfaction of the conditions for the issuance of the Chronic Migraine Contingent Consideration Shares, then the number of Episodic Migraine Contingent Consideration Shares shall be increased to 152,998 shares of common stock; and</w:t>
      </w:r>
    </w:p>
    <w:p>
      <w:pPr>
        <w:spacing w:after="0" w:line="219" w:lineRule="exact"/>
        <w:rPr>
          <w:rFonts w:ascii="Symbol" w:cs="Symbol" w:eastAsia="Symbol" w:hAnsi="Symbol"/>
          <w:sz w:val="20"/>
          <w:szCs w:val="20"/>
          <w:color w:val="auto"/>
        </w:rPr>
      </w:pPr>
    </w:p>
    <w:p>
      <w:pPr>
        <w:ind w:left="720" w:right="20" w:hanging="360"/>
        <w:spacing w:after="0" w:line="243" w:lineRule="auto"/>
        <w:tabs>
          <w:tab w:leader="none" w:pos="72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97,339 shares of common stock, in the aggregate, if, on or before June 30, 2028 (as it may be extended, the “Chronic Migraine Outside Date”, and together with the Migraine Phase 3 Outside Date, the CD BLA Outside Date and the Episodic Migraine Outside Date, the “Outside Dates”), the Company shall have received from the FDA acceptance for review of the BLA submitted by AEON for the treatment of chronic migraine (such 97,339 shares of common stock, the “Chronic Migraine Contingent Consideration Shares”); provided that in the event that the number of Episodic Migraine Contingent Consideration Shares is increased to 152,998, then the number of Chronic Migraine Contingent Consideration Shares shall be decreased to zero and no Contingent Consideration Shares will be issued in connection with the satisfaction of the conditions to the issuance of the Chronic Migraine Contingent Consideration Shares.</w:t>
      </w:r>
    </w:p>
    <w:p>
      <w:pPr>
        <w:spacing w:after="0" w:line="216" w:lineRule="exact"/>
        <w:rPr>
          <w:rFonts w:ascii="Symbol" w:cs="Symbol" w:eastAsia="Symbol" w:hAnsi="Symbol"/>
          <w:sz w:val="20"/>
          <w:szCs w:val="20"/>
          <w:color w:val="auto"/>
        </w:rPr>
      </w:pPr>
    </w:p>
    <w:p>
      <w:pPr>
        <w:ind w:left="720" w:right="280" w:hanging="360"/>
        <w:spacing w:after="0" w:line="246" w:lineRule="auto"/>
        <w:tabs>
          <w:tab w:leader="none" w:pos="72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In the event that the Company licenses any of its products (except in connection with migraine or cervical dystonia indications) to a third-party licensor for distribution in the U.S. market (a “Qualifying License”) prior to the satisfaction of</w:t>
      </w:r>
    </w:p>
    <w:p>
      <w:pPr>
        <w:ind w:left="720" w:right="240"/>
        <w:spacing w:after="0" w:line="242" w:lineRule="auto"/>
        <w:rPr>
          <w:rFonts w:ascii="Symbol" w:cs="Symbol" w:eastAsia="Symbol" w:hAnsi="Symbol"/>
          <w:sz w:val="20"/>
          <w:szCs w:val="20"/>
          <w:color w:val="auto"/>
        </w:rPr>
      </w:pPr>
      <w:r>
        <w:rPr>
          <w:rFonts w:ascii="Times New Roman" w:cs="Times New Roman" w:eastAsia="Times New Roman" w:hAnsi="Times New Roman"/>
          <w:sz w:val="20"/>
          <w:szCs w:val="20"/>
          <w:color w:val="auto"/>
        </w:rPr>
        <w:t>(x) the conditions for the issuance of the Episodic Migraine Contingent Consideration Shares and (y) the conditions for the issuance of the Chronic Migraine Contingent Consideration Shares, then upon the entry of AEON into such Qualifying License, 27,992 shares of common stock shall become due and payable to Participating Stockholders and the number of Episodic Migraine Contingent Consideration Shares and (A) the number of Episodic Migraine Contingent Consideration Shares shall be reduced by 13,996 or by 27,992 and (B) the number of Chronic Migraine Contingent Consideration Shares shall be reduced by 13,996, but not below zero.</w:t>
      </w:r>
    </w:p>
    <w:p>
      <w:pPr>
        <w:spacing w:after="0" w:line="201" w:lineRule="exact"/>
        <w:rPr>
          <w:sz w:val="20"/>
          <w:szCs w:val="20"/>
          <w:color w:val="auto"/>
        </w:rPr>
      </w:pPr>
    </w:p>
    <w:p>
      <w:pPr>
        <w:ind w:right="300" w:firstLine="360"/>
        <w:spacing w:after="0" w:line="278" w:lineRule="auto"/>
        <w:rPr>
          <w:sz w:val="20"/>
          <w:szCs w:val="20"/>
          <w:color w:val="auto"/>
        </w:rPr>
      </w:pPr>
      <w:r>
        <w:rPr>
          <w:rFonts w:ascii="Times New Roman" w:cs="Times New Roman" w:eastAsia="Times New Roman" w:hAnsi="Times New Roman"/>
          <w:sz w:val="20"/>
          <w:szCs w:val="20"/>
          <w:color w:val="auto"/>
        </w:rPr>
        <w:t>The Company classifies the Contingent Consideration as a liability on the consolidated balance sheets and remeasures at each reporting period with changes to fair value recorded to the consolidated statements of operations and comprehensive (loss) income.</w:t>
      </w:r>
    </w:p>
    <w:p>
      <w:pPr>
        <w:spacing w:after="0" w:line="167"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9"/>
          <w:szCs w:val="19"/>
          <w:color w:val="auto"/>
        </w:rPr>
        <w:t>The Company utilized the Probability-Weighted Expected Return Method (PWERM) model to value the contingent consideration based on earnout milestones, probability of forfeiture and success scenarios. For the years ended December 31, 2025 and 2024, the Company recognized $3.5 million and $100.8 million, respectively, of income related to the change in fair value of contingent consideration on the consolidated statements of operations and comprehensive (loss) income, and relates to the change in probabilities of achieving certain scenarios following the clinical results released in the second quarter of 2024 and changes in the Company’s stock</w:t>
      </w:r>
    </w:p>
    <w:p>
      <w:pPr>
        <w:sectPr>
          <w:pgSz w:w="11880" w:h="15480" w:orient="portrait"/>
          <w:cols w:equalWidth="0" w:num="1">
            <w:col w:w="10800"/>
          </w:cols>
          <w:pgMar w:left="540" w:top="13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10800"/>
          </w:cols>
          <w:pgMar w:left="540" w:top="1364" w:right="540" w:bottom="0" w:gutter="0" w:footer="0" w:header="0"/>
          <w:type w:val="continuous"/>
        </w:sectPr>
      </w:pPr>
    </w:p>
    <w:bookmarkStart w:id="108" w:name="page109"/>
    <w:bookmarkEnd w:id="108"/>
    <w:p>
      <w:pPr>
        <w:ind w:right="40"/>
        <w:spacing w:after="0" w:line="278" w:lineRule="auto"/>
        <w:rPr>
          <w:sz w:val="20"/>
          <w:szCs w:val="20"/>
          <w:color w:val="auto"/>
        </w:rPr>
      </w:pPr>
      <w:r>
        <w:rPr>
          <w:rFonts w:ascii="Times New Roman" w:cs="Times New Roman" w:eastAsia="Times New Roman" w:hAnsi="Times New Roman"/>
          <w:sz w:val="20"/>
          <w:szCs w:val="20"/>
          <w:color w:val="auto"/>
        </w:rPr>
        <w:t>price during the period. As of December 31, 2025 and 2024, the contingent consideration liability was $42 thousand and $3.5 million,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Warrants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Public and Private Placement Warrants related to the Closing</w:t>
      </w:r>
    </w:p>
    <w:p>
      <w:pPr>
        <w:spacing w:after="0" w:line="117" w:lineRule="exact"/>
        <w:rPr>
          <w:sz w:val="20"/>
          <w:szCs w:val="20"/>
          <w:color w:val="auto"/>
        </w:rPr>
      </w:pPr>
    </w:p>
    <w:p>
      <w:pPr>
        <w:ind w:right="200" w:firstLine="360"/>
        <w:spacing w:after="0" w:line="278" w:lineRule="auto"/>
        <w:rPr>
          <w:sz w:val="20"/>
          <w:szCs w:val="20"/>
          <w:color w:val="auto"/>
        </w:rPr>
      </w:pPr>
      <w:r>
        <w:rPr>
          <w:rFonts w:ascii="Times New Roman" w:cs="Times New Roman" w:eastAsia="Times New Roman" w:hAnsi="Times New Roman"/>
          <w:sz w:val="20"/>
          <w:szCs w:val="20"/>
          <w:color w:val="auto"/>
        </w:rPr>
        <w:t>Upon the Merger, 201,112 warrants consisting of 127,788 public warrants sold in Priveterra’s initial public offering and 73,334 warrants issued in a concurrent private placement, were outstanding.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Public warrants related to the Closing</w:t>
      </w:r>
    </w:p>
    <w:p>
      <w:pPr>
        <w:spacing w:after="0" w:line="117" w:lineRule="exact"/>
        <w:rPr>
          <w:sz w:val="20"/>
          <w:szCs w:val="20"/>
          <w:color w:val="auto"/>
        </w:rPr>
      </w:pPr>
    </w:p>
    <w:p>
      <w:pPr>
        <w:ind w:firstLine="361"/>
        <w:spacing w:after="0" w:line="246" w:lineRule="auto"/>
        <w:rPr>
          <w:sz w:val="20"/>
          <w:szCs w:val="20"/>
          <w:color w:val="auto"/>
        </w:rPr>
      </w:pPr>
      <w:r>
        <w:rPr>
          <w:rFonts w:ascii="Times New Roman" w:cs="Times New Roman" w:eastAsia="Times New Roman" w:hAnsi="Times New Roman"/>
          <w:sz w:val="20"/>
          <w:szCs w:val="20"/>
          <w:color w:val="auto"/>
        </w:rPr>
        <w:t>Each whole public warrant entitles the holder to purchase one share of the Company’s common stock at a price of $828.00 per share. The public warrants became exercisable 30 days after the completion of the Merger, and will expire on July 21, 2028, the five- year anniversary of the completion of the Merger, or earlier upon redemption or liquidation. Warrant holders may, until such time as there is an effective registration statement and during any period when the Company has failed to maintain an effective registration statement covering the shares of the Company’s common stock issuable upon exercise of the warrants, exercise warrants on a “cashless basis” in accordance with Section 3(a)(9) of the Securities Act or another exception. When exercised on a cashless basis, the number of shares received per warrant is capped at 1.0.</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may call the public warrants for redemption for cash:</w:t>
      </w:r>
    </w:p>
    <w:p>
      <w:pPr>
        <w:spacing w:after="0" w:line="254" w:lineRule="exact"/>
        <w:rPr>
          <w:sz w:val="20"/>
          <w:szCs w:val="20"/>
          <w:color w:val="auto"/>
        </w:rPr>
      </w:pPr>
    </w:p>
    <w:p>
      <w:pPr>
        <w:ind w:left="720" w:hanging="360"/>
        <w:spacing w:after="0"/>
        <w:tabs>
          <w:tab w:leader="none" w:pos="72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in whole and not in part;</w:t>
      </w:r>
    </w:p>
    <w:p>
      <w:pPr>
        <w:spacing w:after="0" w:line="21" w:lineRule="exact"/>
        <w:rPr>
          <w:rFonts w:ascii="Symbol" w:cs="Symbol" w:eastAsia="Symbol" w:hAnsi="Symbol"/>
          <w:sz w:val="20"/>
          <w:szCs w:val="20"/>
          <w:color w:val="auto"/>
        </w:rPr>
      </w:pPr>
    </w:p>
    <w:p>
      <w:pPr>
        <w:ind w:left="720" w:hanging="360"/>
        <w:spacing w:after="0"/>
        <w:tabs>
          <w:tab w:leader="none" w:pos="72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at a price of $0.72 per warrant;</w:t>
      </w:r>
    </w:p>
    <w:p>
      <w:pPr>
        <w:ind w:left="720" w:hanging="360"/>
        <w:spacing w:after="0" w:line="238" w:lineRule="auto"/>
        <w:tabs>
          <w:tab w:leader="none" w:pos="72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upon not less than 30 days’ prior written notice of redemption to each warrant holder (the “30-day redemption period”);</w:t>
      </w:r>
    </w:p>
    <w:p>
      <w:pPr>
        <w:ind w:left="720" w:right="20" w:hanging="360"/>
        <w:spacing w:after="0" w:line="239" w:lineRule="auto"/>
        <w:tabs>
          <w:tab w:leader="none" w:pos="72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if, and only if, there is an effective registration statement under the Securities Act of 1933 covering the issuance of the shares of common stock issuable upon exercise of the warrants, and a current prospectus relating thereto, available through the 30-day redemption period; and</w:t>
      </w:r>
    </w:p>
    <w:p>
      <w:pPr>
        <w:spacing w:after="0" w:line="2" w:lineRule="exact"/>
        <w:rPr>
          <w:rFonts w:ascii="Symbol" w:cs="Symbol" w:eastAsia="Symbol" w:hAnsi="Symbol"/>
          <w:sz w:val="20"/>
          <w:szCs w:val="20"/>
          <w:color w:val="auto"/>
        </w:rPr>
      </w:pPr>
    </w:p>
    <w:p>
      <w:pPr>
        <w:ind w:left="720" w:right="20" w:hanging="361"/>
        <w:spacing w:after="0" w:line="239" w:lineRule="auto"/>
        <w:tabs>
          <w:tab w:leader="none" w:pos="72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if, and only if, the closing price of the Company's common stock equals or exceeds $1,296.00 per share (as adjusted for stock splits, stock capitalizations, reorganizations, recapitalizations and the like) for any 20 trading days within a 30-trading day period ending three business days before the Company sends to the notice of redemption to the warrant holders.</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may also call the public warrants for redemption:</w:t>
      </w:r>
    </w:p>
    <w:p>
      <w:pPr>
        <w:spacing w:after="0" w:line="254" w:lineRule="exact"/>
        <w:rPr>
          <w:sz w:val="20"/>
          <w:szCs w:val="20"/>
          <w:color w:val="auto"/>
        </w:rPr>
      </w:pPr>
    </w:p>
    <w:p>
      <w:pPr>
        <w:ind w:left="720" w:hanging="361"/>
        <w:spacing w:after="0"/>
        <w:tabs>
          <w:tab w:leader="none" w:pos="720" w:val="left"/>
        </w:tabs>
        <w:numPr>
          <w:ilvl w:val="0"/>
          <w:numId w:val="58"/>
        </w:numPr>
        <w:rPr>
          <w:rFonts w:ascii="Symbol" w:cs="Symbol" w:eastAsia="Symbol" w:hAnsi="Symbol"/>
          <w:sz w:val="20"/>
          <w:szCs w:val="20"/>
          <w:color w:val="auto"/>
        </w:rPr>
      </w:pPr>
      <w:r>
        <w:rPr>
          <w:rFonts w:ascii="Times New Roman" w:cs="Times New Roman" w:eastAsia="Times New Roman" w:hAnsi="Times New Roman"/>
          <w:sz w:val="20"/>
          <w:szCs w:val="20"/>
          <w:color w:val="auto"/>
        </w:rPr>
        <w:t>in whole and not in part;</w:t>
      </w:r>
    </w:p>
    <w:p>
      <w:pPr>
        <w:spacing w:after="0" w:line="21" w:lineRule="exact"/>
        <w:rPr>
          <w:rFonts w:ascii="Symbol" w:cs="Symbol" w:eastAsia="Symbol" w:hAnsi="Symbol"/>
          <w:sz w:val="20"/>
          <w:szCs w:val="20"/>
          <w:color w:val="auto"/>
        </w:rPr>
      </w:pPr>
    </w:p>
    <w:p>
      <w:pPr>
        <w:ind w:left="720" w:right="260" w:hanging="361"/>
        <w:spacing w:after="0"/>
        <w:tabs>
          <w:tab w:leader="none" w:pos="720" w:val="left"/>
        </w:tabs>
        <w:numPr>
          <w:ilvl w:val="0"/>
          <w:numId w:val="58"/>
        </w:numPr>
        <w:rPr>
          <w:rFonts w:ascii="Symbol" w:cs="Symbol" w:eastAsia="Symbol" w:hAnsi="Symbol"/>
          <w:sz w:val="20"/>
          <w:szCs w:val="20"/>
          <w:color w:val="auto"/>
        </w:rPr>
      </w:pPr>
      <w:r>
        <w:rPr>
          <w:rFonts w:ascii="Times New Roman" w:cs="Times New Roman" w:eastAsia="Times New Roman" w:hAnsi="Times New Roman"/>
          <w:sz w:val="20"/>
          <w:szCs w:val="20"/>
          <w:color w:val="auto"/>
        </w:rPr>
        <w:t>at $7.20 per warrant upon a minimum of 30 days’ prior written notice of redemption provided that holders will be able to exercise their warrants on a cashless basis prior to redemption and receive that number of shares to be determined by reference to a table in the Warrant Agreement, based on the redemption date and the “fair market value” (as defined in the Warrant Agreement) of common stock except as otherwise described below; and</w:t>
      </w:r>
    </w:p>
    <w:p>
      <w:pPr>
        <w:ind w:left="720" w:right="140" w:hanging="361"/>
        <w:spacing w:after="0" w:line="239" w:lineRule="auto"/>
        <w:tabs>
          <w:tab w:leader="none" w:pos="720" w:val="left"/>
        </w:tabs>
        <w:numPr>
          <w:ilvl w:val="0"/>
          <w:numId w:val="58"/>
        </w:numPr>
        <w:rPr>
          <w:rFonts w:ascii="Symbol" w:cs="Symbol" w:eastAsia="Symbol" w:hAnsi="Symbol"/>
          <w:sz w:val="20"/>
          <w:szCs w:val="20"/>
          <w:color w:val="auto"/>
        </w:rPr>
      </w:pPr>
      <w:r>
        <w:rPr>
          <w:rFonts w:ascii="Times New Roman" w:cs="Times New Roman" w:eastAsia="Times New Roman" w:hAnsi="Times New Roman"/>
          <w:sz w:val="20"/>
          <w:szCs w:val="20"/>
          <w:color w:val="auto"/>
        </w:rPr>
        <w:t>if, and only if, the closing price of the Company’s common stock equals or exceeds $720.00 per share (as adjusted for stock splits, stock capitalizations, reorganizations, recapitalizations and the like) for any 20 trading days within a 30-trading day period ending three business days before the Company sends to the notice of redemption to the warrant 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Private placement warrants related to the Closing</w:t>
      </w:r>
    </w:p>
    <w:p>
      <w:pPr>
        <w:spacing w:after="0" w:line="117" w:lineRule="exact"/>
        <w:rPr>
          <w:sz w:val="20"/>
          <w:szCs w:val="20"/>
          <w:color w:val="auto"/>
        </w:rPr>
      </w:pPr>
    </w:p>
    <w:p>
      <w:pPr>
        <w:ind w:right="80" w:firstLine="360"/>
        <w:spacing w:after="0" w:line="259" w:lineRule="auto"/>
        <w:rPr>
          <w:sz w:val="20"/>
          <w:szCs w:val="20"/>
          <w:color w:val="auto"/>
        </w:rPr>
      </w:pPr>
      <w:r>
        <w:rPr>
          <w:rFonts w:ascii="Times New Roman" w:cs="Times New Roman" w:eastAsia="Times New Roman" w:hAnsi="Times New Roman"/>
          <w:sz w:val="20"/>
          <w:szCs w:val="20"/>
          <w:color w:val="auto"/>
        </w:rPr>
        <w:t>Each private placement warrant was identical to the public warrants initially sold by Priveterra in the IPO, except that the private placement warrants, so long as they are held by the Sponsor or its permitted transferees, (i) will not be redeemable by the Company and (ii) may be exercised by the holders on a cashless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Warrant exercises</w:t>
      </w:r>
    </w:p>
    <w:p>
      <w:pPr>
        <w:spacing w:after="0" w:line="118" w:lineRule="exact"/>
        <w:rPr>
          <w:sz w:val="20"/>
          <w:szCs w:val="20"/>
          <w:color w:val="auto"/>
        </w:rPr>
      </w:pPr>
    </w:p>
    <w:p>
      <w:pPr>
        <w:ind w:right="60" w:firstLine="360"/>
        <w:spacing w:after="0" w:line="278" w:lineRule="auto"/>
        <w:rPr>
          <w:sz w:val="20"/>
          <w:szCs w:val="20"/>
          <w:color w:val="auto"/>
        </w:rPr>
      </w:pPr>
      <w:r>
        <w:rPr>
          <w:rFonts w:ascii="Times New Roman" w:cs="Times New Roman" w:eastAsia="Times New Roman" w:hAnsi="Times New Roman"/>
          <w:sz w:val="19"/>
          <w:szCs w:val="19"/>
          <w:color w:val="auto"/>
        </w:rPr>
        <w:t>On March 29, 2024, the Company delivered notice of redemptions to warrant holders with a redemption date of April 29, 2024 for a cashless redemption of the Company’s outstanding public warrants. The number of shares of common stock that each exercising warrant holder received by virtue of the cashless exercise (instead of paying the $828.00 per Public Warrant cash exercise price) was</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10760"/>
          </w:cols>
          <w:pgMar w:left="540" w:top="1349" w:right="580" w:bottom="0" w:gutter="0" w:footer="0" w:header="0"/>
          <w:type w:val="continuous"/>
        </w:sectPr>
      </w:pPr>
    </w:p>
    <w:bookmarkStart w:id="109" w:name="page110"/>
    <w:bookmarkEnd w:id="109"/>
    <w:p>
      <w:pPr>
        <w:ind w:right="380"/>
        <w:spacing w:after="0" w:line="278" w:lineRule="auto"/>
        <w:rPr>
          <w:sz w:val="20"/>
          <w:szCs w:val="20"/>
          <w:color w:val="auto"/>
        </w:rPr>
      </w:pPr>
      <w:r>
        <w:rPr>
          <w:rFonts w:ascii="Times New Roman" w:cs="Times New Roman" w:eastAsia="Times New Roman" w:hAnsi="Times New Roman"/>
          <w:sz w:val="20"/>
          <w:szCs w:val="20"/>
          <w:color w:val="auto"/>
        </w:rPr>
        <w:t>calculated in accordance with the terms of the Warrant Agreement. Any remaining unexercised public warrants on the redemption date were cancelled and the public warrant holders received the redemption price of $7.20 for each public warrant.</w:t>
      </w:r>
    </w:p>
    <w:p>
      <w:pPr>
        <w:spacing w:after="0" w:line="168" w:lineRule="exact"/>
        <w:rPr>
          <w:sz w:val="20"/>
          <w:szCs w:val="20"/>
          <w:color w:val="auto"/>
        </w:rPr>
      </w:pPr>
    </w:p>
    <w:p>
      <w:pPr>
        <w:jc w:val="both"/>
        <w:ind w:right="40" w:firstLine="36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2024, an aggregate of 142,829 warrants were exercised on a cashless basis for 27,310 shares of common stock, with an impact to additional paid in capital of $15.0 million. Additionally, the Company paid $21,000 in April 2024 related to the cancellation of the remaining 2,881 public warrants on the redemption date.</w:t>
      </w:r>
    </w:p>
    <w:p>
      <w:pPr>
        <w:spacing w:after="0" w:line="188" w:lineRule="exact"/>
        <w:rPr>
          <w:sz w:val="20"/>
          <w:szCs w:val="20"/>
          <w:color w:val="auto"/>
        </w:rPr>
      </w:pPr>
    </w:p>
    <w:p>
      <w:pPr>
        <w:ind w:right="460" w:firstLine="360"/>
        <w:spacing w:after="0" w:line="278" w:lineRule="auto"/>
        <w:rPr>
          <w:sz w:val="20"/>
          <w:szCs w:val="20"/>
          <w:color w:val="auto"/>
        </w:rPr>
      </w:pPr>
      <w:r>
        <w:rPr>
          <w:rFonts w:ascii="Times New Roman" w:cs="Times New Roman" w:eastAsia="Times New Roman" w:hAnsi="Times New Roman"/>
          <w:sz w:val="20"/>
          <w:szCs w:val="20"/>
          <w:color w:val="auto"/>
        </w:rPr>
        <w:t>A summary of activity of the Company’s issued and outstanding public warrants for the year ended December 31, 2025 is as follows:</w:t>
      </w:r>
    </w:p>
    <w:p>
      <w:pPr>
        <w:spacing w:after="0" w:line="187" w:lineRule="exact"/>
        <w:rPr>
          <w:sz w:val="20"/>
          <w:szCs w:val="20"/>
          <w:color w:val="auto"/>
        </w:rPr>
      </w:pPr>
    </w:p>
    <w:tbl>
      <w:tblPr>
        <w:tblLayout w:type="fixed"/>
        <w:tblInd w:w="80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Public</w:t>
            </w:r>
          </w:p>
        </w:tc>
        <w:tc>
          <w:tcPr>
            <w:tcW w:w="180" w:type="dxa"/>
            <w:vAlign w:val="bottom"/>
            <w:gridSpan w:val="2"/>
          </w:tcPr>
          <w:p>
            <w:pPr>
              <w:spacing w:after="0"/>
              <w:rPr>
                <w:sz w:val="17"/>
                <w:szCs w:val="17"/>
                <w:color w:val="auto"/>
              </w:rPr>
            </w:pPr>
          </w:p>
        </w:tc>
        <w:tc>
          <w:tcPr>
            <w:tcW w:w="14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Private</w:t>
            </w:r>
          </w:p>
        </w:tc>
      </w:tr>
      <w:tr>
        <w:trPr>
          <w:trHeight w:val="384"/>
        </w:trPr>
        <w:tc>
          <w:tcPr>
            <w:tcW w:w="61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w w:val="98"/>
              </w:rPr>
              <w:t xml:space="preserve">Issued and Outstanding, January 1, 2025 </w:t>
            </w:r>
            <w:r>
              <w:rPr>
                <w:rFonts w:ascii="Times New Roman" w:cs="Times New Roman" w:eastAsia="Times New Roman" w:hAnsi="Times New Roman"/>
                <w:sz w:val="20"/>
                <w:szCs w:val="20"/>
                <w:color w:val="auto"/>
                <w:w w:val="98"/>
              </w:rPr>
              <w:t>. . . . . . . . . . . . . . . . . . . . . . . . .</w:t>
            </w:r>
          </w:p>
        </w:tc>
        <w:tc>
          <w:tcPr>
            <w:tcW w:w="16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55,403</w:t>
            </w:r>
          </w:p>
        </w:tc>
      </w:tr>
      <w:tr>
        <w:trPr>
          <w:trHeight w:val="230"/>
        </w:trPr>
        <w:tc>
          <w:tcPr>
            <w:tcW w:w="61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7"/>
              </w:rPr>
              <w:t>Number of warrants issued . . . . . . . . . . . . . . . . . . . . . . . . . . . . . . . . . . . . . . .</w:t>
            </w:r>
          </w:p>
        </w:tc>
        <w:tc>
          <w:tcPr>
            <w:tcW w:w="16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61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7"/>
              </w:rPr>
              <w:t>Number of warrants exercised. . . . . . . . . . . . . . . . . . . . . . . . . . . . . . . . . . . . .</w:t>
            </w:r>
          </w:p>
        </w:tc>
        <w:tc>
          <w:tcPr>
            <w:tcW w:w="16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61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7"/>
              </w:rPr>
              <w:t>Number of warrants cancelled. . . . . . . . . . . . . . . . . . . . . . . . . . . . . . . . . . . . .</w:t>
            </w:r>
          </w:p>
        </w:tc>
        <w:tc>
          <w:tcPr>
            <w:tcW w:w="16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6180" w:type="dxa"/>
            <w:vAlign w:val="bottom"/>
            <w:gridSpan w:val="2"/>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 . . . . . . . . . . . . . . . . . . . . . .</w:t>
            </w:r>
            <w:r>
              <w:rPr>
                <w:rFonts w:ascii="Times New Roman" w:cs="Times New Roman" w:eastAsia="Times New Roman" w:hAnsi="Times New Roman"/>
                <w:sz w:val="20"/>
                <w:szCs w:val="20"/>
                <w:b w:val="1"/>
                <w:bCs w:val="1"/>
                <w:color w:val="auto"/>
              </w:rPr>
              <w:t>IssuedandOutstanding,December31,2025</w:t>
            </w:r>
          </w:p>
        </w:tc>
        <w:tc>
          <w:tcPr>
            <w:tcW w:w="14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55,403</w:t>
            </w:r>
          </w:p>
        </w:tc>
      </w:tr>
      <w:tr>
        <w:trPr>
          <w:trHeight w:val="441"/>
        </w:trPr>
        <w:tc>
          <w:tcPr>
            <w:tcW w:w="61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w w:val="98"/>
              </w:rPr>
              <w:t xml:space="preserve">Issued and Outstanding, January 1, 2024 </w:t>
            </w:r>
            <w:r>
              <w:rPr>
                <w:rFonts w:ascii="Times New Roman" w:cs="Times New Roman" w:eastAsia="Times New Roman" w:hAnsi="Times New Roman"/>
                <w:sz w:val="20"/>
                <w:szCs w:val="20"/>
                <w:color w:val="auto"/>
                <w:w w:val="98"/>
              </w:rPr>
              <w:t>. . . . . . . . . . . . . . . . . . . . . . . . .</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127,778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73,334</w:t>
            </w:r>
          </w:p>
        </w:tc>
      </w:tr>
      <w:tr>
        <w:trPr>
          <w:trHeight w:val="230"/>
        </w:trPr>
        <w:tc>
          <w:tcPr>
            <w:tcW w:w="61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7"/>
              </w:rPr>
              <w:t>Number of warrants exercised. . . . . . . . . . . . . . . . . . . . . . . . . . . . . . . . . . . . .</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(124,897)</w:t>
            </w:r>
          </w:p>
        </w:tc>
        <w:tc>
          <w:tcPr>
            <w:tcW w:w="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(17,931)</w:t>
            </w:r>
          </w:p>
        </w:tc>
      </w:tr>
      <w:tr>
        <w:trPr>
          <w:trHeight w:val="250"/>
        </w:trPr>
        <w:tc>
          <w:tcPr>
            <w:tcW w:w="61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7"/>
              </w:rPr>
              <w:t>Number of warrants cancelled. . . . . . . . . . . . . . . . . . . . . . . . . . . . . . . . . . . . .</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(2,881)</w:t>
            </w: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160" w:type="dxa"/>
            <w:vAlign w:val="bottom"/>
          </w:tcPr>
          <w:p>
            <w:pPr>
              <w:jc w:val="right"/>
              <w:ind w:right="140"/>
              <w:spacing w:after="0" w:line="221" w:lineRule="exact"/>
              <w:rPr>
                <w:sz w:val="20"/>
                <w:szCs w:val="20"/>
                <w:color w:val="auto"/>
              </w:rPr>
            </w:pPr>
            <w:r>
              <w:rPr>
                <w:rFonts w:ascii="Times New Roman" w:cs="Times New Roman" w:eastAsia="Times New Roman" w:hAnsi="Times New Roman"/>
                <w:sz w:val="20"/>
                <w:szCs w:val="20"/>
                <w:b w:val="1"/>
                <w:bCs w:val="1"/>
                <w:color w:val="auto"/>
                <w:w w:val="98"/>
              </w:rPr>
              <w:t>Issued and Outstanding, December 31, 2024</w:t>
            </w:r>
            <w:r>
              <w:rPr>
                <w:rFonts w:ascii="Times New Roman" w:cs="Times New Roman" w:eastAsia="Times New Roman" w:hAnsi="Times New Roman"/>
                <w:sz w:val="20"/>
                <w:szCs w:val="20"/>
                <w:color w:val="auto"/>
                <w:w w:val="98"/>
              </w:rPr>
              <w:t>. . . . . . . . . . . . . . . . . . . . . . .</w:t>
            </w:r>
          </w:p>
        </w:tc>
        <w:tc>
          <w:tcPr>
            <w:tcW w:w="20" w:type="dxa"/>
            <w:vAlign w:val="bottom"/>
            <w:tcBorders>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55,403</w:t>
            </w:r>
          </w:p>
        </w:tc>
      </w:tr>
    </w:tbl>
    <w:p>
      <w:pPr>
        <w:spacing w:after="0" w:line="210"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warrants are accounted for as a liability with changes in the fair value recorded to the consolidated statement of operations and comprehensive (loss) income. The fair value of the warrants using the Black-Scholes model (Level 3) was de minimus as of December 31, 2025 and $1.2 million as of December 31, 2024. For the years ended December 31, 2025 and 2024, the income from the change in fair value was $1.2 million and $0.3 million,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Series A and Series B Warrants</w:t>
      </w:r>
    </w:p>
    <w:p>
      <w:pPr>
        <w:spacing w:after="0" w:line="238"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20"/>
          <w:szCs w:val="20"/>
          <w:color w:val="auto"/>
        </w:rPr>
        <w:t>The measurement of fair value for the Series A and Series B Warrants were determined utilizing a Black-Scholes model considering all relevant assumptions at the date of issuance of January 7, 2025 and at December 31, 2025. The fair value on grant date was recorded as a liability on the consolidated balance sheets and changes in fair value are recognized at each reporting period on the consolidated statement of operations and comprehensive (loss) income.</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table below summarizes the significant assumptions: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4"/>
          </w:tcPr>
          <w:p>
            <w:pPr>
              <w:jc w:val="right"/>
              <w:ind w:right="82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7</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6" w:lineRule="exact"/>
              <w:rPr>
                <w:sz w:val="20"/>
                <w:szCs w:val="20"/>
                <w:color w:val="auto"/>
              </w:rPr>
            </w:pPr>
            <w:r>
              <w:rPr>
                <w:rFonts w:ascii="Times New Roman" w:cs="Times New Roman" w:eastAsia="Times New Roman" w:hAnsi="Times New Roman"/>
                <w:sz w:val="16"/>
                <w:szCs w:val="16"/>
                <w:b w:val="1"/>
                <w:bCs w:val="1"/>
                <w:color w:val="auto"/>
              </w:rPr>
              <w:t>Series A</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265"/>
              <w:spacing w:after="0" w:line="156" w:lineRule="exact"/>
              <w:rPr>
                <w:sz w:val="20"/>
                <w:szCs w:val="20"/>
                <w:color w:val="auto"/>
              </w:rPr>
            </w:pPr>
            <w:r>
              <w:rPr>
                <w:rFonts w:ascii="Times New Roman" w:cs="Times New Roman" w:eastAsia="Times New Roman" w:hAnsi="Times New Roman"/>
                <w:sz w:val="16"/>
                <w:szCs w:val="16"/>
                <w:b w:val="1"/>
                <w:bCs w:val="1"/>
                <w:color w:val="auto"/>
              </w:rPr>
              <w:t>Series B</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88"/>
              <w:spacing w:after="0" w:line="156" w:lineRule="exact"/>
              <w:rPr>
                <w:sz w:val="20"/>
                <w:szCs w:val="20"/>
                <w:color w:val="auto"/>
              </w:rPr>
            </w:pPr>
            <w:r>
              <w:rPr>
                <w:rFonts w:ascii="Times New Roman" w:cs="Times New Roman" w:eastAsia="Times New Roman" w:hAnsi="Times New Roman"/>
                <w:sz w:val="16"/>
                <w:szCs w:val="16"/>
                <w:b w:val="1"/>
                <w:bCs w:val="1"/>
                <w:color w:val="auto"/>
              </w:rPr>
              <w:t>Series A</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85"/>
              <w:spacing w:after="0" w:line="156" w:lineRule="exact"/>
              <w:rPr>
                <w:sz w:val="20"/>
                <w:szCs w:val="20"/>
                <w:color w:val="auto"/>
              </w:rPr>
            </w:pPr>
            <w:r>
              <w:rPr>
                <w:rFonts w:ascii="Times New Roman" w:cs="Times New Roman" w:eastAsia="Times New Roman" w:hAnsi="Times New Roman"/>
                <w:sz w:val="16"/>
                <w:szCs w:val="16"/>
                <w:b w:val="1"/>
                <w:bCs w:val="1"/>
                <w:color w:val="auto"/>
              </w:rPr>
              <w:t>Series B</w:t>
            </w:r>
          </w:p>
        </w:tc>
        <w:tc>
          <w:tcPr>
            <w:tcW w:w="0" w:type="dxa"/>
            <w:vAlign w:val="bottom"/>
          </w:tcPr>
          <w:p>
            <w:pPr>
              <w:spacing w:after="0"/>
              <w:rPr>
                <w:sz w:val="1"/>
                <w:szCs w:val="1"/>
                <w:color w:val="auto"/>
              </w:rPr>
            </w:pPr>
          </w:p>
        </w:tc>
      </w:tr>
      <w:tr>
        <w:trPr>
          <w:trHeight w:val="204"/>
        </w:trPr>
        <w:tc>
          <w:tcPr>
            <w:tcW w:w="4960" w:type="dxa"/>
            <w:vAlign w:val="bottom"/>
            <w:vMerge w:val="restart"/>
          </w:tcPr>
          <w:p>
            <w:pPr>
              <w:jc w:val="right"/>
              <w:ind w:right="3940"/>
              <w:spacing w:after="0"/>
              <w:rPr>
                <w:sz w:val="20"/>
                <w:szCs w:val="20"/>
                <w:color w:val="auto"/>
              </w:rPr>
            </w:pPr>
            <w:r>
              <w:rPr>
                <w:rFonts w:ascii="Times New Roman" w:cs="Times New Roman" w:eastAsia="Times New Roman" w:hAnsi="Times New Roman"/>
                <w:sz w:val="20"/>
                <w:szCs w:val="20"/>
                <w:color w:val="auto"/>
                <w:w w:val="98"/>
              </w:rPr>
              <w:t>Stock Price</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02"/>
        </w:trPr>
        <w:tc>
          <w:tcPr>
            <w:tcW w:w="4960" w:type="dxa"/>
            <w:vAlign w:val="bottom"/>
            <w:vMerge w:val="continue"/>
          </w:tcPr>
          <w:p>
            <w:pPr>
              <w:jc w:val="right"/>
              <w:ind w:right="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w:t>
            </w:r>
          </w:p>
        </w:tc>
        <w:tc>
          <w:tcPr>
            <w:tcW w:w="140" w:type="dxa"/>
            <w:vAlign w:val="bottom"/>
          </w:tcPr>
          <w:p>
            <w:pPr>
              <w:spacing w:after="0"/>
              <w:rPr>
                <w:sz w:val="17"/>
                <w:szCs w:val="17"/>
                <w:color w:val="auto"/>
              </w:rPr>
            </w:pPr>
          </w:p>
        </w:tc>
        <w:tc>
          <w:tcPr>
            <w:tcW w:w="220" w:type="dxa"/>
            <w:vAlign w:val="bottom"/>
          </w:tcPr>
          <w:p>
            <w:pPr>
              <w:jc w:val="right"/>
              <w:ind w:right="2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1.10</w:t>
            </w:r>
          </w:p>
        </w:tc>
        <w:tc>
          <w:tcPr>
            <w:tcW w:w="160" w:type="dxa"/>
            <w:vAlign w:val="bottom"/>
          </w:tcPr>
          <w:p>
            <w:pPr>
              <w:spacing w:after="0"/>
              <w:rPr>
                <w:sz w:val="17"/>
                <w:szCs w:val="17"/>
                <w:color w:val="auto"/>
              </w:rPr>
            </w:pPr>
          </w:p>
        </w:tc>
        <w:tc>
          <w:tcPr>
            <w:tcW w:w="240" w:type="dxa"/>
            <w:vAlign w:val="bottom"/>
          </w:tcPr>
          <w:p>
            <w:pPr>
              <w:jc w:val="right"/>
              <w:ind w:right="4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1.10</w:t>
            </w:r>
          </w:p>
        </w:tc>
        <w:tc>
          <w:tcPr>
            <w:tcW w:w="160" w:type="dxa"/>
            <w:vAlign w:val="bottom"/>
          </w:tcPr>
          <w:p>
            <w:pPr>
              <w:spacing w:after="0"/>
              <w:rPr>
                <w:sz w:val="17"/>
                <w:szCs w:val="17"/>
                <w:color w:val="auto"/>
              </w:rPr>
            </w:pPr>
          </w:p>
        </w:tc>
        <w:tc>
          <w:tcPr>
            <w:tcW w:w="220" w:type="dxa"/>
            <w:vAlign w:val="bottom"/>
          </w:tcPr>
          <w:p>
            <w:pPr>
              <w:jc w:val="right"/>
              <w:ind w:right="2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15.91</w:t>
            </w:r>
          </w:p>
        </w:tc>
        <w:tc>
          <w:tcPr>
            <w:tcW w:w="160" w:type="dxa"/>
            <w:vAlign w:val="bottom"/>
          </w:tcPr>
          <w:p>
            <w:pPr>
              <w:spacing w:after="0"/>
              <w:rPr>
                <w:sz w:val="17"/>
                <w:szCs w:val="17"/>
                <w:color w:val="auto"/>
              </w:rPr>
            </w:pPr>
          </w:p>
        </w:tc>
        <w:tc>
          <w:tcPr>
            <w:tcW w:w="300" w:type="dxa"/>
            <w:vAlign w:val="bottom"/>
          </w:tcPr>
          <w:p>
            <w:pPr>
              <w:jc w:val="right"/>
              <w:ind w:right="10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15.91</w:t>
            </w:r>
          </w:p>
        </w:tc>
        <w:tc>
          <w:tcPr>
            <w:tcW w:w="0" w:type="dxa"/>
            <w:vAlign w:val="bottom"/>
          </w:tcPr>
          <w:p>
            <w:pPr>
              <w:spacing w:after="0"/>
              <w:rPr>
                <w:sz w:val="1"/>
                <w:szCs w:val="1"/>
                <w:color w:val="auto"/>
              </w:rPr>
            </w:pPr>
          </w:p>
        </w:tc>
      </w:tr>
      <w:tr>
        <w:trPr>
          <w:trHeight w:val="230"/>
        </w:trPr>
        <w:tc>
          <w:tcPr>
            <w:tcW w:w="49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6"/>
              </w:rPr>
              <w:t>Exercise Price . . . . . . . . . . . . . . . . . . . . . . . . . . . . . . . . . . . . .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w:t>
            </w:r>
          </w:p>
        </w:tc>
        <w:tc>
          <w:tcPr>
            <w:tcW w:w="0" w:type="dxa"/>
            <w:vAlign w:val="bottom"/>
          </w:tcPr>
          <w:p>
            <w:pPr>
              <w:spacing w:after="0"/>
              <w:rPr>
                <w:sz w:val="1"/>
                <w:szCs w:val="1"/>
                <w:color w:val="auto"/>
              </w:rPr>
            </w:pPr>
          </w:p>
        </w:tc>
      </w:tr>
      <w:tr>
        <w:trPr>
          <w:trHeight w:val="232"/>
        </w:trPr>
        <w:tc>
          <w:tcPr>
            <w:tcW w:w="49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7"/>
              </w:rPr>
              <w:t>Expected volatility . . . . . . . . . . . . . . . . . . . . . . . . . . . . . . . . .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130.00%</w:t>
            </w:r>
          </w:p>
        </w:tc>
        <w:tc>
          <w:tcPr>
            <w:tcW w:w="0" w:type="dxa"/>
            <w:vAlign w:val="bottom"/>
          </w:tcPr>
          <w:p>
            <w:pPr>
              <w:spacing w:after="0"/>
              <w:rPr>
                <w:sz w:val="1"/>
                <w:szCs w:val="1"/>
                <w:color w:val="auto"/>
              </w:rPr>
            </w:pPr>
          </w:p>
        </w:tc>
      </w:tr>
      <w:tr>
        <w:trPr>
          <w:trHeight w:val="230"/>
        </w:trPr>
        <w:tc>
          <w:tcPr>
            <w:tcW w:w="49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6"/>
              </w:rPr>
              <w:t>Risk-free interest rate . . . . . . . . . . . . . . . . . . . . . . . . . . . . . . .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w:t>
            </w:r>
          </w:p>
        </w:tc>
        <w:tc>
          <w:tcPr>
            <w:tcW w:w="0" w:type="dxa"/>
            <w:vAlign w:val="bottom"/>
          </w:tcPr>
          <w:p>
            <w:pPr>
              <w:spacing w:after="0"/>
              <w:rPr>
                <w:sz w:val="1"/>
                <w:szCs w:val="1"/>
                <w:color w:val="auto"/>
              </w:rPr>
            </w:pPr>
          </w:p>
        </w:tc>
      </w:tr>
      <w:tr>
        <w:trPr>
          <w:trHeight w:val="232"/>
        </w:trPr>
        <w:tc>
          <w:tcPr>
            <w:tcW w:w="49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6"/>
              </w:rPr>
              <w:t>Expected life (in years) . . . . . . . . . . . . . . . . . . . . . . . . . . . . . .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0" w:type="dxa"/>
            <w:vAlign w:val="bottom"/>
          </w:tcPr>
          <w:p>
            <w:pPr>
              <w:spacing w:after="0"/>
              <w:rPr>
                <w:sz w:val="1"/>
                <w:szCs w:val="1"/>
                <w:color w:val="auto"/>
              </w:rPr>
            </w:pPr>
          </w:p>
        </w:tc>
      </w:tr>
      <w:tr>
        <w:trPr>
          <w:trHeight w:val="267"/>
        </w:trPr>
        <w:tc>
          <w:tcPr>
            <w:tcW w:w="49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6"/>
              </w:rPr>
              <w:t>Expected dividend yield . . . . . . . . . . . . . . . . . . . . . . . . . . . . . .</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20" w:firstLine="360"/>
        <w:spacing w:after="0" w:line="249" w:lineRule="auto"/>
        <w:rPr>
          <w:sz w:val="20"/>
          <w:szCs w:val="20"/>
          <w:color w:val="auto"/>
        </w:rPr>
      </w:pPr>
      <w:r>
        <w:rPr>
          <w:rFonts w:ascii="Times New Roman" w:cs="Times New Roman" w:eastAsia="Times New Roman" w:hAnsi="Times New Roman"/>
          <w:sz w:val="20"/>
          <w:szCs w:val="20"/>
          <w:color w:val="auto"/>
        </w:rPr>
        <w:t>The grant date fair values for these warrants were $94.0 million, comprised of $20.7 million and $ 73.3 million for Series A and Series B Warrants, respectively, on January 7, 2025 and was recorded as a liability as of the grant date due to certain exercise price adjustment provisions occurring in connection with future events. Proceeds were allocated to the warrant liabilities based on the fair value as of grant date of the warrants of $ 94.0 million. As the fair value of the warrants issued were greater than the proceeds received, the Company recognized a loss on issuance of common shares and the warrants of $75.6 million.</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10800"/>
          </w:cols>
          <w:pgMar w:left="540" w:top="1349" w:right="540" w:bottom="0" w:gutter="0" w:footer="0" w:header="0"/>
          <w:type w:val="continuous"/>
        </w:sectPr>
      </w:pPr>
    </w:p>
    <w:bookmarkStart w:id="110" w:name="page111"/>
    <w:bookmarkEnd w:id="110"/>
    <w:p>
      <w:pPr>
        <w:ind w:left="360"/>
        <w:spacing w:after="0"/>
        <w:rPr>
          <w:sz w:val="20"/>
          <w:szCs w:val="20"/>
          <w:color w:val="auto"/>
        </w:rPr>
      </w:pPr>
      <w:r>
        <w:rPr>
          <w:rFonts w:ascii="Times New Roman" w:cs="Times New Roman" w:eastAsia="Times New Roman" w:hAnsi="Times New Roman"/>
          <w:sz w:val="20"/>
          <w:szCs w:val="20"/>
          <w:color w:val="auto"/>
        </w:rPr>
        <w:t>A summary of activity for the Company’s issued and outstanding Series A and Series B Warrants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Series B</w:t>
            </w:r>
          </w:p>
        </w:tc>
      </w:tr>
      <w:tr>
        <w:trPr>
          <w:trHeight w:val="384"/>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Issued and Outstanding, January 1, 2025</w:t>
            </w:r>
            <w:r>
              <w:rPr>
                <w:rFonts w:ascii="Times New Roman" w:cs="Times New Roman" w:eastAsia="Times New Roman" w:hAnsi="Times New Roman"/>
                <w:sz w:val="20"/>
                <w:szCs w:val="20"/>
                <w:color w:val="auto"/>
              </w:rPr>
              <w:t>. . . . . . . . . . . . . . . . . . . . . . . . . . . . . . . . . . . . . . .</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Number of warrants issued. . . . . . . . . . . . . . . . . . . . . . . . . . . . . . . . . . . . . . . . . . . . . . . . . . . . .</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3,565,245</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3,565,245</w:t>
            </w:r>
          </w:p>
        </w:tc>
      </w:tr>
      <w:tr>
        <w:trPr>
          <w:trHeight w:val="270"/>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Number of warrants exercised . . . . . . . . . . . . . . . . . . . . . . . . . . . . . . . . . . . . . . . . . . . . . . . . . .</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(3,502,982)</w:t>
            </w:r>
          </w:p>
        </w:tc>
      </w:tr>
      <w:tr>
        <w:trPr>
          <w:trHeight w:val="210"/>
        </w:trPr>
        <w:tc>
          <w:tcPr>
            <w:tcW w:w="754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 xml:space="preserve">Issued and Outstanding, December 31, 2025 </w:t>
            </w:r>
            <w:r>
              <w:rPr>
                <w:rFonts w:ascii="Times New Roman" w:cs="Times New Roman" w:eastAsia="Times New Roman" w:hAnsi="Times New Roman"/>
                <w:sz w:val="20"/>
                <w:szCs w:val="20"/>
                <w:color w:val="auto"/>
              </w:rPr>
              <w:t>. . . . . . . . . . . . . . . . . . . . . . . . . . . . . . . . . . . .</w:t>
            </w:r>
          </w:p>
        </w:tc>
        <w:tc>
          <w:tcPr>
            <w:tcW w:w="20" w:type="dxa"/>
            <w:vAlign w:val="bottom"/>
            <w:tcBorders>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b w:val="1"/>
                <w:bCs w:val="1"/>
                <w:color w:val="auto"/>
              </w:rPr>
              <w:t>3,565,245</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b w:val="1"/>
                <w:bCs w:val="1"/>
                <w:color w:val="auto"/>
              </w:rPr>
              <w:t>62,263</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Summary of Recurring Fair Value Measurements</w:t>
      </w:r>
    </w:p>
    <w:p>
      <w:pPr>
        <w:spacing w:after="0" w:line="117" w:lineRule="exact"/>
        <w:rPr>
          <w:sz w:val="20"/>
          <w:szCs w:val="20"/>
          <w:color w:val="auto"/>
        </w:rPr>
      </w:pPr>
    </w:p>
    <w:p>
      <w:pPr>
        <w:ind w:right="280" w:firstLine="360"/>
        <w:spacing w:after="0" w:line="278" w:lineRule="auto"/>
        <w:rPr>
          <w:sz w:val="20"/>
          <w:szCs w:val="20"/>
          <w:color w:val="auto"/>
        </w:rPr>
      </w:pPr>
      <w:r>
        <w:rPr>
          <w:rFonts w:ascii="Times New Roman" w:cs="Times New Roman" w:eastAsia="Times New Roman" w:hAnsi="Times New Roman"/>
          <w:sz w:val="20"/>
          <w:szCs w:val="20"/>
          <w:color w:val="auto"/>
        </w:rPr>
        <w:t>The following details the Company’s recurring measurements for assets and liabilities at fair value on the consolidated balance sheets as of December 31, 2025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Warrant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Contingent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Derivative</w:t>
            </w:r>
          </w:p>
        </w:tc>
      </w:tr>
      <w:tr>
        <w:trPr>
          <w:trHeight w:val="186"/>
        </w:trPr>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204"/>
        </w:trPr>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387"/>
        </w:trPr>
        <w:tc>
          <w:tcPr>
            <w:tcW w:w="51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6"/>
              </w:rPr>
              <w:t xml:space="preserve">Balance, January 1, 2025 </w:t>
            </w:r>
            <w:r>
              <w:rPr>
                <w:rFonts w:ascii="Times New Roman" w:cs="Times New Roman" w:eastAsia="Times New Roman" w:hAnsi="Times New Roman"/>
                <w:sz w:val="20"/>
                <w:szCs w:val="20"/>
                <w:color w:val="auto"/>
                <w:w w:val="96"/>
              </w:rPr>
              <w:t>. . . . . . . . . . . . . . . . . . . . . . . . . .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1,187</w:t>
            </w:r>
          </w:p>
        </w:tc>
        <w:tc>
          <w:tcPr>
            <w:tcW w:w="1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3,541</w:t>
            </w:r>
          </w:p>
        </w:tc>
        <w:tc>
          <w:tcPr>
            <w:tcW w:w="18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1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Issuance of derivative liability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12,438</w:t>
            </w:r>
          </w:p>
        </w:tc>
      </w:tr>
      <w:tr>
        <w:trPr>
          <w:trHeight w:val="232"/>
        </w:trPr>
        <w:tc>
          <w:tcPr>
            <w:tcW w:w="51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Issuance of warrants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94,064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1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Change in fair value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(84,934)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(3,499)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2,441</w:t>
            </w:r>
          </w:p>
        </w:tc>
      </w:tr>
      <w:tr>
        <w:trPr>
          <w:trHeight w:val="232"/>
        </w:trPr>
        <w:tc>
          <w:tcPr>
            <w:tcW w:w="51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Warrant cashless exercise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(7,041)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1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Termination of forward purchase agreements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5140" w:type="dxa"/>
            <w:vAlign w:val="bottom"/>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 . . . . . . . . . . . . . . . . . . . . . . . . .</w:t>
            </w:r>
            <w:r>
              <w:rPr>
                <w:rFonts w:ascii="Times New Roman" w:cs="Times New Roman" w:eastAsia="Times New Roman" w:hAnsi="Times New Roman"/>
                <w:sz w:val="20"/>
                <w:szCs w:val="20"/>
                <w:b w:val="1"/>
                <w:bCs w:val="1"/>
                <w:color w:val="auto"/>
              </w:rPr>
              <w:t>Balance,December31,2025</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34,600</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3,276</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42</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14,879</w:t>
            </w:r>
          </w:p>
        </w:tc>
      </w:tr>
    </w:tbl>
    <w:p>
      <w:pPr>
        <w:spacing w:after="0" w:line="221" w:lineRule="exact"/>
        <w:rPr>
          <w:sz w:val="20"/>
          <w:szCs w:val="20"/>
          <w:color w:val="auto"/>
        </w:rPr>
      </w:pPr>
    </w:p>
    <w:p>
      <w:pPr>
        <w:ind w:right="940" w:firstLine="360"/>
        <w:spacing w:after="0" w:line="278" w:lineRule="auto"/>
        <w:rPr>
          <w:sz w:val="20"/>
          <w:szCs w:val="20"/>
          <w:color w:val="auto"/>
        </w:rPr>
      </w:pPr>
      <w:r>
        <w:rPr>
          <w:rFonts w:ascii="Times New Roman" w:cs="Times New Roman" w:eastAsia="Times New Roman" w:hAnsi="Times New Roman"/>
          <w:sz w:val="20"/>
          <w:szCs w:val="20"/>
          <w:color w:val="auto"/>
        </w:rPr>
        <w:t>The following details the Company’s recurring measurements for assets and liabilities at fair value on the consolidated balance sheets as of December 31, 2024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Embedded</w:t>
            </w:r>
          </w:p>
        </w:tc>
      </w:tr>
      <w:tr>
        <w:trPr>
          <w:trHeight w:val="185"/>
        </w:trPr>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Forward</w:t>
            </w:r>
          </w:p>
        </w:tc>
      </w:tr>
      <w:tr>
        <w:trPr>
          <w:trHeight w:val="184"/>
        </w:trPr>
        <w:tc>
          <w:tcPr>
            <w:tcW w:w="5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184"/>
        </w:trPr>
        <w:tc>
          <w:tcPr>
            <w:tcW w:w="5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Agreement and</w:t>
            </w:r>
          </w:p>
        </w:tc>
      </w:tr>
      <w:tr>
        <w:trPr>
          <w:trHeight w:val="185"/>
        </w:trPr>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Convertible</w:t>
            </w:r>
          </w:p>
        </w:tc>
        <w:tc>
          <w:tcPr>
            <w:tcW w:w="180" w:type="dxa"/>
            <w:vAlign w:val="bottom"/>
          </w:tcPr>
          <w:p>
            <w:pPr>
              <w:spacing w:after="0"/>
              <w:rPr>
                <w:sz w:val="16"/>
                <w:szCs w:val="16"/>
                <w:color w:val="auto"/>
              </w:rPr>
            </w:pPr>
          </w:p>
        </w:tc>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120" w:type="dxa"/>
            <w:vAlign w:val="bottom"/>
          </w:tcPr>
          <w:p>
            <w:pPr>
              <w:spacing w:after="0"/>
              <w:rPr>
                <w:sz w:val="16"/>
                <w:szCs w:val="16"/>
                <w:color w:val="auto"/>
              </w:rPr>
            </w:pPr>
          </w:p>
        </w:tc>
        <w:tc>
          <w:tcPr>
            <w:tcW w:w="112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Contingent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Make Whole</w:t>
            </w:r>
          </w:p>
        </w:tc>
      </w:tr>
      <w:tr>
        <w:trPr>
          <w:trHeight w:val="185"/>
        </w:trPr>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80" w:type="dxa"/>
            <w:vAlign w:val="bottom"/>
          </w:tcPr>
          <w:p>
            <w:pPr>
              <w:spacing w:after="0"/>
              <w:rPr>
                <w:sz w:val="16"/>
                <w:szCs w:val="16"/>
                <w:color w:val="auto"/>
              </w:rPr>
            </w:pPr>
          </w:p>
        </w:tc>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6"/>
                <w:szCs w:val="16"/>
                <w:color w:val="auto"/>
              </w:rPr>
            </w:pPr>
          </w:p>
        </w:tc>
        <w:tc>
          <w:tcPr>
            <w:tcW w:w="112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Consideration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Derivative</w:t>
            </w:r>
          </w:p>
        </w:tc>
      </w:tr>
      <w:tr>
        <w:trPr>
          <w:trHeight w:val="204"/>
        </w:trPr>
        <w:tc>
          <w:tcPr>
            <w:tcW w:w="5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200" w:type="dxa"/>
            <w:vAlign w:val="bottom"/>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20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20" w:type="dxa"/>
            <w:vAlign w:val="bottom"/>
          </w:tcPr>
          <w:p>
            <w:pPr>
              <w:spacing w:after="0"/>
              <w:rPr>
                <w:sz w:val="17"/>
                <w:szCs w:val="17"/>
                <w:color w:val="auto"/>
              </w:rPr>
            </w:pPr>
          </w:p>
        </w:tc>
      </w:tr>
      <w:tr>
        <w:trPr>
          <w:trHeight w:val="387"/>
        </w:trPr>
        <w:tc>
          <w:tcPr>
            <w:tcW w:w="5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Balance, January 1, 2024 </w:t>
            </w:r>
            <w:r>
              <w:rPr>
                <w:rFonts w:ascii="Times New Roman" w:cs="Times New Roman" w:eastAsia="Times New Roman" w:hAnsi="Times New Roman"/>
                <w:sz w:val="20"/>
                <w:szCs w:val="20"/>
                <w:color w:val="auto"/>
              </w:rPr>
              <w:t>.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104,350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41,043</w:t>
            </w:r>
          </w:p>
        </w:tc>
        <w:tc>
          <w:tcPr>
            <w:tcW w:w="20" w:type="dxa"/>
            <w:vAlign w:val="bottom"/>
          </w:tcPr>
          <w:p>
            <w:pPr>
              <w:spacing w:after="0"/>
              <w:rPr>
                <w:sz w:val="24"/>
                <w:szCs w:val="24"/>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convertible notes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(3,311)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14,719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(100,809)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(663)</w:t>
            </w: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Warrant cashless exercise.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(14,979)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51"/>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Termination of forward purchase agreements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(40,380)</w:t>
            </w:r>
          </w:p>
        </w:tc>
      </w:tr>
      <w:tr>
        <w:trPr>
          <w:trHeight w:val="231"/>
        </w:trPr>
        <w:tc>
          <w:tcPr>
            <w:tcW w:w="51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 . . . . . . . . . . . . . . . . . . . . . . . .</w:t>
            </w:r>
            <w:r>
              <w:rPr>
                <w:rFonts w:ascii="Times New Roman" w:cs="Times New Roman" w:eastAsia="Times New Roman" w:hAnsi="Times New Roman"/>
                <w:sz w:val="20"/>
                <w:szCs w:val="20"/>
                <w:b w:val="1"/>
                <w:bCs w:val="1"/>
                <w:color w:val="auto"/>
              </w:rPr>
              <w:t>Balance,December31,2024</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11,689</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1,187</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3,541</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0"/>
                <w:szCs w:val="20"/>
                <w:color w:val="auto"/>
              </w:rPr>
            </w:pPr>
          </w:p>
        </w:tc>
      </w:tr>
      <w:tr>
        <w:trPr>
          <w:trHeight w:val="491"/>
        </w:trPr>
        <w:tc>
          <w:tcPr>
            <w:tcW w:w="5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7.  Commitments and Contingencies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240" w:lineRule="exact"/>
        <w:rPr>
          <w:sz w:val="20"/>
          <w:szCs w:val="20"/>
          <w:color w:val="auto"/>
        </w:rPr>
      </w:pPr>
    </w:p>
    <w:p>
      <w:pPr>
        <w:ind w:right="200" w:firstLine="360"/>
        <w:spacing w:after="0" w:line="252" w:lineRule="auto"/>
        <w:rPr>
          <w:sz w:val="20"/>
          <w:szCs w:val="20"/>
          <w:color w:val="auto"/>
        </w:rPr>
      </w:pPr>
      <w:r>
        <w:rPr>
          <w:rFonts w:ascii="Times New Roman" w:cs="Times New Roman" w:eastAsia="Times New Roman" w:hAnsi="Times New Roman"/>
          <w:sz w:val="20"/>
          <w:szCs w:val="20"/>
          <w:color w:val="auto"/>
        </w:rPr>
        <w:t>In December 2021, the Company entered into a three-year non-cancellable lease for office space. The lease was extended for an additional five years in March 2024. The lease does not include variable or contingent lease payments. An operating lease asset and liability are recognized based on the present value of the remaining lease payments discounted using the Company’s incremental borrowing rate. Lease expense is recognized on a straight-line basis over the lease term.</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10800"/>
          </w:cols>
          <w:pgMar w:left="540" w:top="1349" w:right="540" w:bottom="0" w:gutter="0" w:footer="0" w:header="0"/>
          <w:type w:val="continuous"/>
        </w:sectPr>
      </w:pPr>
    </w:p>
    <w:bookmarkStart w:id="111" w:name="page112"/>
    <w:bookmarkEnd w:id="111"/>
    <w:p>
      <w:pPr>
        <w:ind w:right="200"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supplemental balance sheet information related to the operating lease as of December 31, 2025 (in thousands):</w:t>
      </w:r>
    </w:p>
    <w:p>
      <w:pPr>
        <w:spacing w:after="0" w:line="18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7080" w:type="dxa"/>
            <w:vAlign w:val="bottom"/>
          </w:tcPr>
          <w:p>
            <w:pPr>
              <w:jc w:val="right"/>
              <w:ind w:right="3800"/>
              <w:spacing w:after="0"/>
              <w:rPr>
                <w:sz w:val="20"/>
                <w:szCs w:val="20"/>
                <w:color w:val="auto"/>
              </w:rPr>
            </w:pPr>
            <w:r>
              <w:rPr>
                <w:rFonts w:ascii="Times New Roman" w:cs="Times New Roman" w:eastAsia="Times New Roman" w:hAnsi="Times New Roman"/>
                <w:sz w:val="20"/>
                <w:szCs w:val="20"/>
                <w:color w:val="auto"/>
                <w:w w:val="98"/>
              </w:rPr>
              <w:t>Minimum lease payments by fiscal year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7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2026 . . . . . . . . . . . . . . . . . . . . . . . . . . . . . . . . . . . . . . . . . . . . . . . . . . . . . . . . . . . . . . . . . . .</w:t>
            </w:r>
          </w:p>
        </w:tc>
        <w:tc>
          <w:tcPr>
            <w:tcW w:w="820" w:type="dxa"/>
            <w:vAlign w:val="bottom"/>
            <w:gridSpan w:val="3"/>
          </w:tcPr>
          <w:p>
            <w:pPr>
              <w:jc w:val="right"/>
              <w:ind w:right="415"/>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160" w:type="dxa"/>
            <w:vAlign w:val="bottom"/>
          </w:tcPr>
          <w:p>
            <w:pPr>
              <w:spacing w:after="0"/>
              <w:rPr>
                <w:sz w:val="20"/>
                <w:szCs w:val="20"/>
                <w:color w:val="auto"/>
              </w:rPr>
            </w:pPr>
          </w:p>
        </w:tc>
      </w:tr>
      <w:tr>
        <w:trPr>
          <w:trHeight w:val="229"/>
        </w:trPr>
        <w:tc>
          <w:tcPr>
            <w:tcW w:w="7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2027 . . . . . . . . . . . . . . . . . . . . . . . . . . . . . . . . . . . . . . . . . . . . . . . . . . . . . . . . . . . . . . . . . . .</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160" w:type="dxa"/>
            <w:vAlign w:val="bottom"/>
          </w:tcPr>
          <w:p>
            <w:pPr>
              <w:spacing w:after="0"/>
              <w:rPr>
                <w:sz w:val="19"/>
                <w:szCs w:val="19"/>
                <w:color w:val="auto"/>
              </w:rPr>
            </w:pPr>
          </w:p>
        </w:tc>
      </w:tr>
      <w:tr>
        <w:trPr>
          <w:trHeight w:val="230"/>
        </w:trPr>
        <w:tc>
          <w:tcPr>
            <w:tcW w:w="7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2028 . . . . . . . . . . . . . . . . . . . . . . . . . . . . . . . . . . . . . . . . . . . . . . . . . . . . . . . . . . . . . . . . . . .</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160" w:type="dxa"/>
            <w:vAlign w:val="bottom"/>
          </w:tcPr>
          <w:p>
            <w:pPr>
              <w:spacing w:after="0"/>
              <w:rPr>
                <w:sz w:val="20"/>
                <w:szCs w:val="20"/>
                <w:color w:val="auto"/>
              </w:rPr>
            </w:pPr>
          </w:p>
        </w:tc>
      </w:tr>
      <w:tr>
        <w:trPr>
          <w:trHeight w:val="230"/>
        </w:trPr>
        <w:tc>
          <w:tcPr>
            <w:tcW w:w="7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2029 . . . . . . . . . . . . . . . . . . . . . . . . . . . . . . . . . . . . . . . . . . . . . . . . . . . . . . . . . . . . . . . . . . .</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w:t>
            </w:r>
          </w:p>
        </w:tc>
        <w:tc>
          <w:tcPr>
            <w:tcW w:w="160" w:type="dxa"/>
            <w:vAlign w:val="bottom"/>
          </w:tcPr>
          <w:p>
            <w:pPr>
              <w:spacing w:after="0"/>
              <w:rPr>
                <w:sz w:val="20"/>
                <w:szCs w:val="20"/>
                <w:color w:val="auto"/>
              </w:rPr>
            </w:pPr>
          </w:p>
        </w:tc>
      </w:tr>
      <w:tr>
        <w:trPr>
          <w:trHeight w:val="250"/>
        </w:trPr>
        <w:tc>
          <w:tcPr>
            <w:tcW w:w="7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5"/>
              </w:rPr>
              <w:t>Thereafter . . . . . . . . . . . . . . . . . . . . . . . . . . . . . . . . . . . . . . . . . . . . . . . . . . . . . . . . . . . . . . .</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r>
      <w:tr>
        <w:trPr>
          <w:trHeight w:val="199"/>
        </w:trPr>
        <w:tc>
          <w:tcPr>
            <w:tcW w:w="7080" w:type="dxa"/>
            <w:vAlign w:val="bottom"/>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rPr>
              <w:t>. . . . . . . . . . . . . . . . . . . . . . . . . . . . . . . . . . . . . . .Totalfutureminimumleasepayments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1,251</w:t>
            </w:r>
          </w:p>
        </w:tc>
        <w:tc>
          <w:tcPr>
            <w:tcW w:w="160" w:type="dxa"/>
            <w:vAlign w:val="bottom"/>
          </w:tcPr>
          <w:p>
            <w:pPr>
              <w:spacing w:after="0"/>
              <w:rPr>
                <w:sz w:val="17"/>
                <w:szCs w:val="17"/>
                <w:color w:val="auto"/>
              </w:rPr>
            </w:pPr>
          </w:p>
        </w:tc>
      </w:tr>
      <w:tr>
        <w:trPr>
          <w:trHeight w:val="250"/>
        </w:trPr>
        <w:tc>
          <w:tcPr>
            <w:tcW w:w="7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Less: Imputed interest . . . . . . . . . . . . . . . . . . . . . . . . . . . . . . . . . . . . . . . . . . . . . . . . . . . . .</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60" w:type="dxa"/>
            <w:vAlign w:val="bottom"/>
          </w:tcPr>
          <w:p>
            <w:pPr>
              <w:spacing w:after="0"/>
              <w:rPr>
                <w:sz w:val="21"/>
                <w:szCs w:val="21"/>
                <w:color w:val="auto"/>
              </w:rPr>
            </w:pPr>
          </w:p>
        </w:tc>
      </w:tr>
      <w:tr>
        <w:trPr>
          <w:trHeight w:val="201"/>
        </w:trPr>
        <w:tc>
          <w:tcPr>
            <w:tcW w:w="7080" w:type="dxa"/>
            <w:vAlign w:val="bottom"/>
          </w:tcPr>
          <w:p>
            <w:pPr>
              <w:jc w:val="right"/>
              <w:ind w:right="120"/>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 . . . . . . . . . . . .Presentvalueofleasepayments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1,145</w:t>
            </w:r>
          </w:p>
        </w:tc>
        <w:tc>
          <w:tcPr>
            <w:tcW w:w="160" w:type="dxa"/>
            <w:vAlign w:val="bottom"/>
          </w:tcPr>
          <w:p>
            <w:pPr>
              <w:spacing w:after="0"/>
              <w:rPr>
                <w:sz w:val="17"/>
                <w:szCs w:val="17"/>
                <w:color w:val="auto"/>
              </w:rPr>
            </w:pPr>
          </w:p>
        </w:tc>
      </w:tr>
      <w:tr>
        <w:trPr>
          <w:trHeight w:val="250"/>
        </w:trPr>
        <w:tc>
          <w:tcPr>
            <w:tcW w:w="7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Less: Current portion (included in other accrued expenses) . . . . . . . . . . . . . . . . . . . . . . .</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160" w:type="dxa"/>
            <w:vAlign w:val="bottom"/>
          </w:tcPr>
          <w:p>
            <w:pPr>
              <w:spacing w:after="0"/>
              <w:rPr>
                <w:sz w:val="21"/>
                <w:szCs w:val="21"/>
                <w:color w:val="auto"/>
              </w:rPr>
            </w:pPr>
          </w:p>
        </w:tc>
      </w:tr>
      <w:tr>
        <w:trPr>
          <w:trHeight w:val="240"/>
        </w:trPr>
        <w:tc>
          <w:tcPr>
            <w:tcW w:w="7080" w:type="dxa"/>
            <w:vAlign w:val="bottom"/>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.Noncurrentoperatingleaseliability</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893</w:t>
            </w:r>
          </w:p>
        </w:tc>
        <w:tc>
          <w:tcPr>
            <w:tcW w:w="160" w:type="dxa"/>
            <w:vAlign w:val="bottom"/>
          </w:tcPr>
          <w:p>
            <w:pPr>
              <w:spacing w:after="0"/>
              <w:rPr>
                <w:sz w:val="20"/>
                <w:szCs w:val="20"/>
                <w:color w:val="auto"/>
              </w:rPr>
            </w:pPr>
          </w:p>
        </w:tc>
      </w:tr>
      <w:tr>
        <w:trPr>
          <w:trHeight w:val="200"/>
        </w:trPr>
        <w:tc>
          <w:tcPr>
            <w:tcW w:w="7080" w:type="dxa"/>
            <w:vAlign w:val="bottom"/>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w w:val="99"/>
              </w:rPr>
              <w:t>. . . . . . . . . . . . . . . . . . . . . . . . . . . . . . . . . . . . . . . . . . . .Operatingleaseright-of-useasset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1,052</w:t>
            </w:r>
          </w:p>
        </w:tc>
        <w:tc>
          <w:tcPr>
            <w:tcW w:w="160" w:type="dxa"/>
            <w:vAlign w:val="bottom"/>
          </w:tcPr>
          <w:p>
            <w:pPr>
              <w:spacing w:after="0"/>
              <w:rPr>
                <w:sz w:val="17"/>
                <w:szCs w:val="17"/>
                <w:color w:val="auto"/>
              </w:rPr>
            </w:pPr>
          </w:p>
        </w:tc>
      </w:tr>
      <w:tr>
        <w:trPr>
          <w:trHeight w:val="230"/>
        </w:trPr>
        <w:tc>
          <w:tcPr>
            <w:tcW w:w="7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Remaining lease term in years . . . . . . . . . . . . . . . . . . . . . . . . . . . . . . . . . . . . . . . . . . . . . .</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60" w:type="dxa"/>
            <w:vAlign w:val="bottom"/>
          </w:tcPr>
          <w:p>
            <w:pPr>
              <w:spacing w:after="0"/>
              <w:rPr>
                <w:sz w:val="20"/>
                <w:szCs w:val="20"/>
                <w:color w:val="auto"/>
              </w:rPr>
            </w:pPr>
          </w:p>
        </w:tc>
      </w:tr>
      <w:tr>
        <w:trPr>
          <w:trHeight w:val="267"/>
        </w:trPr>
        <w:tc>
          <w:tcPr>
            <w:tcW w:w="7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Discount rate . . . . . . . . . . . . . . . . . . . . . . . . . . . . . . . . . . . . . . . . . . . . . . . . . . . . . . . . . . . .</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r>
    </w:tbl>
    <w:p>
      <w:pPr>
        <w:spacing w:after="0" w:line="203" w:lineRule="exact"/>
        <w:rPr>
          <w:sz w:val="20"/>
          <w:szCs w:val="20"/>
          <w:color w:val="auto"/>
        </w:rPr>
      </w:pPr>
    </w:p>
    <w:p>
      <w:pPr>
        <w:ind w:right="100"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supplemental disclosures of operating cost and cash flow information related to operating leases for the years ended December 31, 2025 and 2024 (in thousands):</w:t>
      </w:r>
    </w:p>
    <w:p>
      <w:pPr>
        <w:spacing w:after="0" w:line="188"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440" w:type="dxa"/>
            <w:vAlign w:val="bottom"/>
            <w:vMerge w:val="restart"/>
          </w:tcPr>
          <w:p>
            <w:pPr>
              <w:jc w:val="right"/>
              <w:ind w:right="3420"/>
              <w:spacing w:after="0"/>
              <w:rPr>
                <w:sz w:val="20"/>
                <w:szCs w:val="20"/>
                <w:color w:val="auto"/>
              </w:rPr>
            </w:pPr>
            <w:r>
              <w:rPr>
                <w:rFonts w:ascii="Times New Roman" w:cs="Times New Roman" w:eastAsia="Times New Roman" w:hAnsi="Times New Roman"/>
                <w:sz w:val="20"/>
                <w:szCs w:val="20"/>
                <w:color w:val="auto"/>
                <w:w w:val="99"/>
              </w:rPr>
              <w:t>Cost of operating leases</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7"/>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1"/>
        </w:trPr>
        <w:tc>
          <w:tcPr>
            <w:tcW w:w="5440" w:type="dxa"/>
            <w:vAlign w:val="bottom"/>
            <w:vMerge w:val="continue"/>
          </w:tcPr>
          <w:p>
            <w:pPr>
              <w:jc w:val="right"/>
              <w:ind w:right="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w:t>
            </w:r>
          </w:p>
        </w:tc>
        <w:tc>
          <w:tcPr>
            <w:tcW w:w="180" w:type="dxa"/>
            <w:vAlign w:val="bottom"/>
          </w:tcPr>
          <w:p>
            <w:pPr>
              <w:spacing w:after="0"/>
              <w:rPr>
                <w:sz w:val="17"/>
                <w:szCs w:val="17"/>
                <w:color w:val="auto"/>
              </w:rPr>
            </w:pPr>
          </w:p>
        </w:tc>
        <w:tc>
          <w:tcPr>
            <w:tcW w:w="940" w:type="dxa"/>
            <w:vAlign w:val="bottom"/>
          </w:tcPr>
          <w:p>
            <w:pPr>
              <w:jc w:val="right"/>
              <w:ind w:right="75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ind w:left="80"/>
              <w:spacing w:after="0" w:line="201" w:lineRule="exact"/>
              <w:rPr>
                <w:sz w:val="20"/>
                <w:szCs w:val="20"/>
                <w:color w:val="auto"/>
              </w:rPr>
            </w:pPr>
            <w:r>
              <w:rPr>
                <w:rFonts w:ascii="Times New Roman" w:cs="Times New Roman" w:eastAsia="Times New Roman" w:hAnsi="Times New Roman"/>
                <w:sz w:val="20"/>
                <w:szCs w:val="20"/>
                <w:color w:val="auto"/>
              </w:rPr>
              <w:t>289</w:t>
            </w:r>
          </w:p>
        </w:tc>
        <w:tc>
          <w:tcPr>
            <w:tcW w:w="220" w:type="dxa"/>
            <w:vAlign w:val="bottom"/>
          </w:tcPr>
          <w:p>
            <w:pPr>
              <w:spacing w:after="0"/>
              <w:rPr>
                <w:sz w:val="17"/>
                <w:szCs w:val="17"/>
                <w:color w:val="auto"/>
              </w:rPr>
            </w:pPr>
          </w:p>
        </w:tc>
        <w:tc>
          <w:tcPr>
            <w:tcW w:w="440" w:type="dxa"/>
            <w:vAlign w:val="bottom"/>
          </w:tcPr>
          <w:p>
            <w:pPr>
              <w:jc w:val="right"/>
              <w:ind w:right="24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260</w:t>
            </w:r>
          </w:p>
        </w:tc>
        <w:tc>
          <w:tcPr>
            <w:tcW w:w="0" w:type="dxa"/>
            <w:vAlign w:val="bottom"/>
          </w:tcPr>
          <w:p>
            <w:pPr>
              <w:spacing w:after="0"/>
              <w:rPr>
                <w:sz w:val="1"/>
                <w:szCs w:val="1"/>
                <w:color w:val="auto"/>
              </w:rPr>
            </w:pPr>
          </w:p>
        </w:tc>
      </w:tr>
      <w:tr>
        <w:trPr>
          <w:trHeight w:val="267"/>
        </w:trPr>
        <w:tc>
          <w:tcPr>
            <w:tcW w:w="54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6"/>
              </w:rPr>
              <w:t>Cash paid for operating leases . . . . . . . . . . . . . . . . . . . . . . . . . . . . . .</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175</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Daewoong License and Supply Agreement</w:t>
      </w:r>
    </w:p>
    <w:p>
      <w:pPr>
        <w:spacing w:after="0" w:line="239" w:lineRule="exact"/>
        <w:rPr>
          <w:sz w:val="20"/>
          <w:szCs w:val="20"/>
          <w:color w:val="auto"/>
        </w:rPr>
      </w:pPr>
    </w:p>
    <w:p>
      <w:pPr>
        <w:jc w:val="both"/>
        <w:ind w:right="260" w:firstLine="360"/>
        <w:spacing w:after="0" w:line="249" w:lineRule="auto"/>
        <w:rPr>
          <w:sz w:val="20"/>
          <w:szCs w:val="20"/>
          <w:color w:val="auto"/>
        </w:rPr>
      </w:pPr>
      <w:r>
        <w:rPr>
          <w:rFonts w:ascii="Times New Roman" w:cs="Times New Roman" w:eastAsia="Times New Roman" w:hAnsi="Times New Roman"/>
          <w:sz w:val="20"/>
          <w:szCs w:val="20"/>
          <w:color w:val="auto"/>
        </w:rPr>
        <w:t>On December 20, 2019, the Company entered the Daewoong Agreement, pursuant to which Daewoong agreed to manufacture and supply ABP-450 and grant the Company an exclusive license for therapeutic indications to import, distribute, promote, market, develop, offer for sale and otherwise commercialize and exploit ABP-450 in the United States, the European Union, the</w:t>
      </w:r>
    </w:p>
    <w:p>
      <w:pPr>
        <w:spacing w:after="0" w:line="2" w:lineRule="exact"/>
        <w:rPr>
          <w:sz w:val="20"/>
          <w:szCs w:val="20"/>
          <w:color w:val="auto"/>
        </w:rPr>
      </w:pPr>
    </w:p>
    <w:p>
      <w:pPr>
        <w:jc w:val="both"/>
        <w:ind w:right="280"/>
        <w:spacing w:after="0" w:line="249" w:lineRule="auto"/>
        <w:rPr>
          <w:sz w:val="20"/>
          <w:szCs w:val="20"/>
          <w:color w:val="auto"/>
        </w:rPr>
      </w:pPr>
      <w:r>
        <w:rPr>
          <w:rFonts w:ascii="Times New Roman" w:cs="Times New Roman" w:eastAsia="Times New Roman" w:hAnsi="Times New Roman"/>
          <w:sz w:val="20"/>
          <w:szCs w:val="20"/>
          <w:color w:val="auto"/>
        </w:rPr>
        <w:t>United Kingdom, Canada, Australia, Russia, the Commonwealth of Independent States and South Africa (collectively the “covered territories”).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Pursuant to the terms of the Exchange Agreement, for the full satisfaction of all obligations under the Existing Notes,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2026 after approval of the Exchange by stockholders, the Company issued to Daewoong (i) 11,918,380 newly issued shares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stock and 11,236,631 Daewoong Pre-Funded Warrants to purchase shares of common stock (the “Exchange Shares”), (ii) a</w:t>
      </w:r>
    </w:p>
    <w:p>
      <w:pPr>
        <w:spacing w:after="0"/>
        <w:rPr>
          <w:sz w:val="20"/>
          <w:szCs w:val="20"/>
          <w:color w:val="auto"/>
        </w:rPr>
      </w:pPr>
      <w:r>
        <w:rPr>
          <w:rFonts w:ascii="Times New Roman" w:cs="Times New Roman" w:eastAsia="Times New Roman" w:hAnsi="Times New Roman"/>
          <w:sz w:val="19"/>
          <w:szCs w:val="19"/>
          <w:color w:val="auto"/>
        </w:rPr>
        <w:t>new senior secured convertible note in a principal amount of $1.5 million (the “New Convertible Note”), and (iii) warrants to purchase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 to 8 million shares of common stock at an exercise price of $1.09392 per share, which resulted in Daewoong becoming a related</w:t>
      </w:r>
    </w:p>
    <w:p>
      <w:pPr>
        <w:spacing w:after="0"/>
        <w:rPr>
          <w:sz w:val="20"/>
          <w:szCs w:val="20"/>
          <w:color w:val="auto"/>
        </w:rPr>
      </w:pPr>
      <w:r>
        <w:rPr>
          <w:rFonts w:ascii="Times New Roman" w:cs="Times New Roman" w:eastAsia="Times New Roman" w:hAnsi="Times New Roman"/>
          <w:sz w:val="20"/>
          <w:szCs w:val="20"/>
          <w:color w:val="auto"/>
        </w:rPr>
        <w:t>party. Prior to this transaction, Daewoong’s beneficial ownership was approximately 1%.</w:t>
      </w:r>
    </w:p>
    <w:p>
      <w:pPr>
        <w:spacing w:after="0" w:line="211" w:lineRule="exact"/>
        <w:rPr>
          <w:sz w:val="20"/>
          <w:szCs w:val="20"/>
          <w:color w:val="auto"/>
        </w:rPr>
      </w:pPr>
    </w:p>
    <w:p>
      <w:pPr>
        <w:ind w:right="60" w:firstLine="360"/>
        <w:spacing w:after="0" w:line="246" w:lineRule="auto"/>
        <w:rPr>
          <w:sz w:val="20"/>
          <w:szCs w:val="20"/>
          <w:color w:val="auto"/>
        </w:rPr>
      </w:pPr>
      <w:r>
        <w:rPr>
          <w:rFonts w:ascii="Times New Roman" w:cs="Times New Roman" w:eastAsia="Times New Roman" w:hAnsi="Times New Roman"/>
          <w:sz w:val="20"/>
          <w:szCs w:val="20"/>
          <w:color w:val="auto"/>
        </w:rPr>
        <w:t>In connection with the Exchange, on January 21, 2026, the Company entered into a Fifth Amendment to the License and Supply Agreement (the “License Agreement Amendment”) with Daewoong, which amends the License and Supply Agreement, by and between the Company and Daewoong, dated December 20, 2019, as amended on July 29, 2022, January 8, 2023, April 24, 2023 and March 19, 2024. Pursuant to the terms of the License Agreement Amendment, the definition of “Notes” reflects the Exchange and the Termination Purchase Right (as defined in the License Agreement Amendment) will terminate and expire upon Daewoong’s sale of 50% of its common stock, including common stock held by its affiliates and common stock that would be issued upon conversion of the New Convertible Note.</w:t>
      </w:r>
    </w:p>
    <w:p>
      <w:pPr>
        <w:spacing w:after="0" w:line="201" w:lineRule="exact"/>
        <w:rPr>
          <w:sz w:val="20"/>
          <w:szCs w:val="20"/>
          <w:color w:val="auto"/>
        </w:rPr>
      </w:pPr>
    </w:p>
    <w:p>
      <w:pPr>
        <w:ind w:right="160" w:firstLine="360"/>
        <w:spacing w:after="0" w:line="249" w:lineRule="auto"/>
        <w:rPr>
          <w:sz w:val="20"/>
          <w:szCs w:val="20"/>
          <w:color w:val="auto"/>
        </w:rPr>
      </w:pPr>
      <w:r>
        <w:rPr>
          <w:rFonts w:ascii="Times New Roman" w:cs="Times New Roman" w:eastAsia="Times New Roman" w:hAnsi="Times New Roman"/>
          <w:sz w:val="20"/>
          <w:szCs w:val="20"/>
          <w:color w:val="auto"/>
        </w:rPr>
        <w:t>Daewoong supplies the Company with ABP-450 at an agreed -upon transfer price, with no milestone or royalty payments and no minimum purchase requirements. Daewoong is responsible for all costs related to the manufacturing of ABP-450, including costs related to the operation and upkeep of its manufacturing facility, and the Company is responsible for all costs related to obtaining regulatory approval, including clinical expenses, and commercialization of ABP-450. The Company’s exclusivity is subject to its exercise of commercially reasonable efforts to: (i) achieve all regulatory approvals necessary for ABP-450 to be marketed in the</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108</w:t>
      </w:r>
    </w:p>
    <w:p>
      <w:pPr>
        <w:sectPr>
          <w:pgSz w:w="11880" w:h="15480" w:orient="portrait"/>
          <w:cols w:equalWidth="0" w:num="1">
            <w:col w:w="10780"/>
          </w:cols>
          <w:pgMar w:left="540" w:top="1349" w:right="560" w:bottom="0" w:gutter="0" w:footer="0" w:header="0"/>
          <w:type w:val="continuous"/>
        </w:sectPr>
      </w:pPr>
    </w:p>
    <w:bookmarkStart w:id="112" w:name="page113"/>
    <w:bookmarkEnd w:id="112"/>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territory for therapeutic indications and (ii) commercialize ABP-450 in the territory for therapeutic indications. During the term of the Daewoong Agreement, the Company cannot purchase, sell or distribute any competing products in a covered territory or sell ABP-450 outside a covered territory.</w:t>
      </w:r>
    </w:p>
    <w:p>
      <w:pPr>
        <w:spacing w:after="0" w:line="186" w:lineRule="exact"/>
        <w:rPr>
          <w:sz w:val="20"/>
          <w:szCs w:val="20"/>
          <w:color w:val="auto"/>
        </w:rPr>
      </w:pPr>
    </w:p>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The initial term of the Daewoong Agreement is from December 20, 2019 to the later of (i) the fifth anniversary of approval from the relevant governmental authority necessary to market and sell ABP-450 or (ii) December 20, 2029, and automatically renews for unlimited additional three-year terms, provided the Daewoong Agreement is not earlier terminated. The Daewoong Agreement will terminate upon written notice by either the Company or Daewoong upon a continuing default that remains uncured within 90 days (or 30 days for a payment default) by the other party, or without notice upon the bankruptcy or insolvency of the Company.</w:t>
      </w:r>
    </w:p>
    <w:p>
      <w:pPr>
        <w:spacing w:after="0" w:line="198" w:lineRule="exact"/>
        <w:rPr>
          <w:sz w:val="20"/>
          <w:szCs w:val="20"/>
          <w:color w:val="auto"/>
        </w:rPr>
      </w:pPr>
    </w:p>
    <w:p>
      <w:pPr>
        <w:ind w:right="160" w:firstLine="360"/>
        <w:spacing w:after="0" w:line="252" w:lineRule="auto"/>
        <w:rPr>
          <w:sz w:val="20"/>
          <w:szCs w:val="20"/>
          <w:color w:val="auto"/>
        </w:rPr>
      </w:pPr>
      <w:r>
        <w:rPr>
          <w:rFonts w:ascii="Times New Roman" w:cs="Times New Roman" w:eastAsia="Times New Roman" w:hAnsi="Times New Roman"/>
          <w:sz w:val="20"/>
          <w:szCs w:val="20"/>
          <w:color w:val="auto"/>
        </w:rPr>
        <w:t>The Company has recorded $0.4 million and $0.3 million as liabilities in accrued expenses and accounts payable on the consolidated balance sheets as of December 31, 2025 and 2024, respectively, for ABP-450 supplies and analytical testing performed by Daewoong. For the years ended December 31, 2025 and 2024, the Company recorded $0.2 million and $0.3 million, respectively, of research and development expenses on the consolidated statement of operations and comprehensive (loss) income.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240" w:lineRule="exact"/>
        <w:rPr>
          <w:sz w:val="20"/>
          <w:szCs w:val="20"/>
          <w:color w:val="auto"/>
        </w:rPr>
      </w:pPr>
    </w:p>
    <w:p>
      <w:pPr>
        <w:ind w:right="160" w:firstLine="361"/>
        <w:spacing w:after="0" w:line="252" w:lineRule="auto"/>
        <w:rPr>
          <w:sz w:val="20"/>
          <w:szCs w:val="20"/>
          <w:color w:val="auto"/>
        </w:rPr>
      </w:pPr>
      <w:r>
        <w:rPr>
          <w:rFonts w:ascii="Times New Roman" w:cs="Times New Roman" w:eastAsia="Times New Roman" w:hAnsi="Times New Roman"/>
          <w:sz w:val="20"/>
          <w:szCs w:val="20"/>
          <w:color w:val="auto"/>
        </w:rPr>
        <w:t>The Company, from time to time, is involved in various litigation matters or regulatory encounters arising in the ordinary course of business that could result in unasserted or asserted claims or litigation. Other than as described below, the Company is not subject to any currently pending legal matters or claims that would have a material adverse effect on its accompanying financial position, results of operations or cash flows.</w:t>
      </w:r>
    </w:p>
    <w:p>
      <w:pPr>
        <w:spacing w:after="0" w:line="193"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On September 18, 2023, Odeon Capital Group LLC (“Odeon”) filed a lawsuit against the Company in the Supreme Court of the State of New York, alleging that the Company failed to pay Odeon’s deferred underwriting fee of $1.25 million, and seeking monetary damages for the full amount of its claimed underwriting fee, punitive damages, attorneys’ fees and other amounts, totaling approximately $1.7 million, which was recorded in other accrued expenses on the consolidated balance sheets as of December 31, 2024. On October 31, 2025, the Company entered into a settlement agreement with Odeon to settle the lawsuit in exchange for $1.0 million in cash, 267,455 shares of common stock and 125,000 warrants to purchase shares of common stock with an exercise price of $2.00 and a three-year term. The Company recorded a gain on settlement of $0.4 million to selling, general and administrative expenses on the consolidated statement of operations and comprehensive (loss) income for the year ended December 31, 2025.</w:t>
      </w:r>
    </w:p>
    <w:p>
      <w:pPr>
        <w:spacing w:after="0" w:line="203"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19"/>
          <w:szCs w:val="19"/>
          <w:color w:val="auto"/>
        </w:rPr>
        <w:t>On November 20, 2025, Aegis Capital Corp. (“Aegis”) filed a lawsuit against the Company in the Supreme Court of the State of New York, alleging that the Company failed to honor a right of first refusal (the “ROFR”) in Aegis’s favor when AEON raised capital through a self -directed private placement in public equity (“PIPE”). In the complaint, Aegis claimed that AEON misappropriated $1.59 million by not engaging Aegis as its underwriter or bookrunner in the PIPE and seeks punitive damages and attorneys'</w:t>
      </w:r>
    </w:p>
    <w:p>
      <w:pPr>
        <w:spacing w:after="0" w:line="1"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0"/>
          <w:szCs w:val="20"/>
          <w:color w:val="auto"/>
        </w:rPr>
        <w:t>fees. Aegis was unsuccessful in its attempts to obtain both a temporary restraining order and permanent injunction. AEON filed a motion to dismiss in January 2026, relying upon New York precedent that indicates ROFRs are not operative when a company does not engage any banking partner. Oral argument with respect to the motion to dismiss is scheduled for April 2026.</w:t>
      </w:r>
    </w:p>
    <w:p>
      <w:pPr>
        <w:spacing w:after="0" w:line="201"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 See Note 2 Summary of Significant Accounting Policies for additional information.</w:t>
      </w:r>
    </w:p>
    <w:p>
      <w:pPr>
        <w:spacing w:after="0" w:line="19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Note 8.</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243"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20"/>
          <w:szCs w:val="20"/>
          <w:color w:val="auto"/>
        </w:rPr>
        <w:t>The Company’s (loss) income before income taxes for the periods presented in the statement of operations was entirely generated from its U.S. operations. As a result of its continuing taxable losses, the Company had no provision for income taxes for the years ended December 31, 2025 and 2024.</w:t>
      </w:r>
    </w:p>
    <w:p>
      <w:pPr>
        <w:spacing w:after="0" w:line="186" w:lineRule="exact"/>
        <w:rPr>
          <w:sz w:val="20"/>
          <w:szCs w:val="20"/>
          <w:color w:val="auto"/>
        </w:rPr>
      </w:pPr>
    </w:p>
    <w:p>
      <w:pPr>
        <w:ind w:right="180" w:firstLine="360"/>
        <w:spacing w:after="0" w:line="270" w:lineRule="auto"/>
        <w:rPr>
          <w:sz w:val="20"/>
          <w:szCs w:val="20"/>
          <w:color w:val="auto"/>
        </w:rPr>
      </w:pPr>
      <w:r>
        <w:rPr>
          <w:rFonts w:ascii="Times New Roman" w:cs="Times New Roman" w:eastAsia="Times New Roman" w:hAnsi="Times New Roman"/>
          <w:sz w:val="19"/>
          <w:szCs w:val="19"/>
          <w:color w:val="auto"/>
        </w:rPr>
        <w:t>As of December 31, 2025 and 2024, the Company had federal net operating loss (“NOL”) carryforwards of $140.5 million and $112.1 million, respectively, of which $ 48.4 million and $48.4 million, respectively, which will begin to expire in 2036, and $92.1 million and $63.7 million, respectively, have indefinite lives. The Company had state NOLs of $141.1 million and $140.5 million as of December 31, 2025 and 2024, respectively, which will begin to expire in 2034. As of December 31, 2025 and 2024, the Company</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1880" w:h="15480" w:orient="portrait"/>
          <w:cols w:equalWidth="0" w:num="1">
            <w:col w:w="10800"/>
          </w:cols>
          <w:pgMar w:left="540" w:top="1349" w:right="540" w:bottom="0" w:gutter="0" w:footer="0" w:header="0"/>
          <w:type w:val="continuous"/>
        </w:sectPr>
      </w:pPr>
    </w:p>
    <w:bookmarkStart w:id="113" w:name="page114"/>
    <w:bookmarkEnd w:id="113"/>
    <w:p>
      <w:pPr>
        <w:spacing w:after="0" w:line="259" w:lineRule="auto"/>
        <w:rPr>
          <w:sz w:val="20"/>
          <w:szCs w:val="20"/>
          <w:color w:val="auto"/>
        </w:rPr>
      </w:pPr>
      <w:r>
        <w:rPr>
          <w:rFonts w:ascii="Times New Roman" w:cs="Times New Roman" w:eastAsia="Times New Roman" w:hAnsi="Times New Roman"/>
          <w:sz w:val="20"/>
          <w:szCs w:val="20"/>
          <w:color w:val="auto"/>
        </w:rPr>
        <w:t>has federal research and development (“R&amp;D”) credit carryforwards of $7.1 million and $6.9 million, respectively, which will begin to expire in 2039. As of December 31, 2025 and 2024, the Company also has California R&amp;D credit carryforwards of $5.2 million and $5.0 million, respectively, which have an indefinite carryforward period.</w:t>
      </w:r>
    </w:p>
    <w:p>
      <w:pPr>
        <w:spacing w:after="0" w:line="176"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In general, if the Company experiences a greater than 50 percentage point aggregate change in ownership of certain significant stockholders over a three-year period (a “Section 382 ownership change”), utilization of its pre-change NOL carryforwards and the R&amp;D credit carryforwards is subject to an annual limitation under Sections 382 and 383 of the Internal Revenue Code of 1986, as amended, and similar state laws. The annual limitation generally is determined by multiplying the value of the Company’s stock at the time of such ownership change, subject to certain adjustments, by the applicable long-term tax-exempt rate. Such limitations may result in expiration of a portion of the NOL carryforwards and R&amp;D credit carryforwards before utilization and may be material. As of December 31, 2025, the Company has not determined to what extent a potential ownership change will impact the annual limitation that may be placed on the Company’s utilization of its NOL carryovers and R&amp;D credit carryforwards. Due to the existence of the valuation allowance, limitations created by ownership changes, if any, will not impact the Company’s effective tax rate.</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components of deferred tax assets and liabilities were as follows (in thousands):</w:t>
      </w:r>
    </w:p>
    <w:p>
      <w:pPr>
        <w:spacing w:after="0" w:line="259" w:lineRule="exact"/>
        <w:rPr>
          <w:sz w:val="20"/>
          <w:szCs w:val="20"/>
          <w:color w:val="auto"/>
        </w:rPr>
      </w:pPr>
    </w:p>
    <w:tbl>
      <w:tblPr>
        <w:tblLayout w:type="fixed"/>
        <w:tblInd w:w="820"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2"/>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6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Accrued compensation . . . . . . . . . . . . . . . . . . . . . . . . . . . . . . . . . . . . . . . . . . . . .</w:t>
            </w: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Accrued other expense . . . . . . . . . . . . .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Stock compensation . . . . . . . . . . . . . . .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Start-up costs and other intangibles . . .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Net operating losses . . . . . . . . . . . . . . .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41,973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Lease liability . . . . . . . . . . . . . . . . . . . .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Other deferred assets . . . . . . . . . . . . . . .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Capitalized research and development expenses . . . . . . . . . . . . . . . . . . . . . . . .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8,087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59,392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60,985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Less: valuation allowance . . . . . . . . . . . . . . . . . . . . . . . . . . . . . . . . . . . . . . . . . . .</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(59,137)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(59,560)</w:t>
            </w:r>
          </w:p>
        </w:tc>
        <w:tc>
          <w:tcPr>
            <w:tcW w:w="0" w:type="dxa"/>
            <w:vAlign w:val="bottom"/>
          </w:tcPr>
          <w:p>
            <w:pPr>
              <w:spacing w:after="0"/>
              <w:rPr>
                <w:sz w:val="1"/>
                <w:szCs w:val="1"/>
                <w:color w:val="auto"/>
              </w:rPr>
            </w:pPr>
          </w:p>
        </w:tc>
      </w:tr>
      <w:tr>
        <w:trPr>
          <w:trHeight w:val="221"/>
        </w:trPr>
        <w:tc>
          <w:tcPr>
            <w:tcW w:w="660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.Totaldeferredtaxassets</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600" w:type="dxa"/>
            <w:vAlign w:val="bottom"/>
          </w:tcPr>
          <w:p>
            <w:pPr>
              <w:spacing w:after="0" w:line="202" w:lineRule="exact"/>
              <w:rPr>
                <w:sz w:val="20"/>
                <w:szCs w:val="20"/>
                <w:color w:val="auto"/>
              </w:rPr>
            </w:pPr>
            <w:r>
              <w:rPr>
                <w:rFonts w:ascii="Times New Roman" w:cs="Times New Roman" w:eastAsia="Times New Roman" w:hAnsi="Times New Roman"/>
                <w:sz w:val="20"/>
                <w:szCs w:val="20"/>
                <w:color w:val="auto"/>
              </w:rPr>
              <w:t>Deferred tax liabilities: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Depreciation . . . . . . . . . . . . . . . . . . . . . .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32"/>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ROU Asset . . . . . . . . . . . . . . . . . . . . . . .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Convertible notes . . . . . . . . . . . . . . . . . . . . . . . . . . . . . . . . . . . . . . . . . . . . . . . . . .</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(988)</w:t>
            </w:r>
          </w:p>
        </w:tc>
        <w:tc>
          <w:tcPr>
            <w:tcW w:w="0" w:type="dxa"/>
            <w:vAlign w:val="bottom"/>
          </w:tcPr>
          <w:p>
            <w:pPr>
              <w:spacing w:after="0"/>
              <w:rPr>
                <w:sz w:val="1"/>
                <w:szCs w:val="1"/>
                <w:color w:val="auto"/>
              </w:rPr>
            </w:pPr>
          </w:p>
        </w:tc>
      </w:tr>
      <w:tr>
        <w:trPr>
          <w:trHeight w:val="221"/>
        </w:trPr>
        <w:tc>
          <w:tcPr>
            <w:tcW w:w="660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.Totaldeferredtaxliabilities</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600" w:type="dxa"/>
            <w:vAlign w:val="bottom"/>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w w:val="99"/>
              </w:rPr>
              <w:t>. . . . . . . . . . . . . . . . . . . . . . . . . . . . . . . . . . . . . . . . . . . .Netdeferredincometaxes</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110</w:t>
      </w:r>
    </w:p>
    <w:p>
      <w:pPr>
        <w:sectPr>
          <w:pgSz w:w="11880" w:h="15480" w:orient="portrait"/>
          <w:cols w:equalWidth="0" w:num="1">
            <w:col w:w="10780"/>
          </w:cols>
          <w:pgMar w:left="540" w:top="1349" w:right="560" w:bottom="0" w:gutter="0" w:footer="0" w:header="0"/>
          <w:type w:val="continuous"/>
        </w:sectPr>
      </w:pPr>
    </w:p>
    <w:bookmarkStart w:id="114" w:name="page115"/>
    <w:bookmarkEnd w:id="114"/>
    <w:p>
      <w:pPr>
        <w:ind w:left="360"/>
        <w:spacing w:after="0"/>
        <w:rPr>
          <w:sz w:val="20"/>
          <w:szCs w:val="20"/>
          <w:color w:val="auto"/>
        </w:rPr>
      </w:pPr>
      <w:r>
        <w:rPr>
          <w:rFonts w:ascii="Times New Roman" w:cs="Times New Roman" w:eastAsia="Times New Roman" w:hAnsi="Times New Roman"/>
          <w:sz w:val="20"/>
          <w:szCs w:val="20"/>
          <w:color w:val="auto"/>
        </w:rPr>
        <w:t>The table below provides the updated requirements of ASU 2023-09 for 2025. The effective income tax rate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differs from the statutory federal income tax rate as follows:</w:t>
      </w:r>
    </w:p>
    <w:p>
      <w:pPr>
        <w:spacing w:after="0" w:line="233"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Tax expense (benefit) at statutory federal rate</w:t>
            </w: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6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02"/>
        </w:trPr>
        <w:tc>
          <w:tcPr>
            <w:tcW w:w="6560" w:type="dxa"/>
            <w:vAlign w:val="bottom"/>
            <w:gridSpan w:val="2"/>
            <w:vMerge w:val="continue"/>
          </w:tcPr>
          <w:p>
            <w:pPr>
              <w:jc w:val="right"/>
              <w:ind w:right="280"/>
              <w:spacing w:after="0" w:line="178" w:lineRule="exact"/>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260"/>
              <w:spacing w:after="0" w:line="202" w:lineRule="exact"/>
              <w:rPr>
                <w:sz w:val="20"/>
                <w:szCs w:val="20"/>
                <w:color w:val="auto"/>
              </w:rPr>
            </w:pPr>
            <w:r>
              <w:rPr>
                <w:rFonts w:ascii="Times New Roman" w:cs="Times New Roman" w:eastAsia="Times New Roman" w:hAnsi="Times New Roman"/>
                <w:sz w:val="20"/>
                <w:szCs w:val="20"/>
                <w:color w:val="auto"/>
              </w:rPr>
              <w:t>(8,237)</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21.0</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9"/>
              </w:rPr>
              <w:t>State and local income tax, net of federal income tax effect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5"/>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Foreign tax effects . . . .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5"/>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9"/>
              </w:rPr>
              <w:t>Effect of changes in tax laws or rates enacted in the current period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5"/>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Effect of cross-border tax laws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5"/>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Tax credits . . . . . . . . . .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5"/>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560" w:type="dxa"/>
            <w:vAlign w:val="bottom"/>
            <w:gridSpan w:val="2"/>
          </w:tcPr>
          <w:p>
            <w:pPr>
              <w:jc w:val="right"/>
              <w:ind w:right="280"/>
              <w:spacing w:after="0" w:line="227" w:lineRule="exact"/>
              <w:rPr>
                <w:sz w:val="20"/>
                <w:szCs w:val="20"/>
                <w:color w:val="auto"/>
              </w:rPr>
            </w:pPr>
            <w:r>
              <w:rPr>
                <w:rFonts w:ascii="Times New Roman" w:cs="Times New Roman" w:eastAsia="Times New Roman" w:hAnsi="Times New Roman"/>
                <w:sz w:val="20"/>
                <w:szCs w:val="20"/>
                <w:color w:val="auto"/>
                <w:w w:val="97"/>
              </w:rPr>
              <w:t>Changes in valuation allowance . . . . . . . . . . . . . . . . . . . . . . . . . . . . . . . . . . . . . .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3,238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(8.3)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Nontaxable and nondeductible Items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Stock compensation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Officers compensation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Contingent consideration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(1,951)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Forward purchase agreements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(735)</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Private placement liabilities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Convertible notes . .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31"/>
        </w:trPr>
        <w:tc>
          <w:tcPr>
            <w:tcW w:w="6540" w:type="dxa"/>
            <w:vAlign w:val="bottom"/>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w w:val="96"/>
              </w:rPr>
              <w:t>Total tax provision and effective tax rate . . . . . . . . . . . . . . . . . . . . . . . . . . . . . . . .</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ind w:right="155"/>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60" w:firstLine="360"/>
        <w:spacing w:after="0" w:line="278" w:lineRule="auto"/>
        <w:rPr>
          <w:sz w:val="20"/>
          <w:szCs w:val="20"/>
          <w:color w:val="auto"/>
        </w:rPr>
      </w:pPr>
      <w:r>
        <w:rPr>
          <w:rFonts w:ascii="Times New Roman" w:cs="Times New Roman" w:eastAsia="Times New Roman" w:hAnsi="Times New Roman"/>
          <w:sz w:val="20"/>
          <w:szCs w:val="20"/>
          <w:color w:val="auto"/>
        </w:rPr>
        <w:t>As previously disclosed for the year ended December 31, 2024, prior to the adoption of ASU 2023-09, the effective income tax rate differs from the statutory federal income tax rate as follows:</w:t>
      </w:r>
    </w:p>
    <w:p>
      <w:pPr>
        <w:spacing w:after="0" w:line="373" w:lineRule="exact"/>
        <w:rPr>
          <w:sz w:val="20"/>
          <w:szCs w:val="20"/>
          <w:color w:val="auto"/>
        </w:rPr>
      </w:pPr>
    </w:p>
    <w:tbl>
      <w:tblPr>
        <w:tblLayout w:type="fixed"/>
        <w:tblInd w:w="1620" w:type="dxa"/>
        <w:tblCellMar>
          <w:top w:w="0" w:type="dxa"/>
          <w:left w:w="0" w:type="dxa"/>
          <w:bottom w:w="0" w:type="dxa"/>
          <w:right w:w="0" w:type="dxa"/>
        </w:tblCellMar>
      </w:tblPr>
      <w:tr>
        <w:trPr>
          <w:trHeight w:val="194"/>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Income tax at statutory rate</w:t>
            </w:r>
          </w:p>
        </w:tc>
        <w:tc>
          <w:tcPr>
            <w:tcW w:w="134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02"/>
        </w:trPr>
        <w:tc>
          <w:tcPr>
            <w:tcW w:w="5960" w:type="dxa"/>
            <w:vAlign w:val="bottom"/>
            <w:gridSpan w:val="2"/>
            <w:vMerge w:val="continue"/>
          </w:tcPr>
          <w:p>
            <w:pPr>
              <w:jc w:val="right"/>
              <w:ind w:right="38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w:t>
            </w:r>
          </w:p>
        </w:tc>
        <w:tc>
          <w:tcPr>
            <w:tcW w:w="13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21.0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9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Convertible notes . . . . . . . . . . . . . . . . . . . . . . . . . . . . . . . . . . . . . . . . . . .</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Contingent consideration . . . . . . . . . . . . . . . . . . . . . . . . . . . . . . . . . . . . .</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Forward purchase agreements . . . . . . . . . . . . . . . . . . . . . . . . . . . . . . . . .</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Private placement liabilities . . . . . . . . . . . . . . . . . . . . . . . . . . . . . . . . . . .</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Warrants . . . . . . . . . . . . . . . . . . . . . . . . . . . . . . . . . . . . . . . . . . . . . . . . . .</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Stock compensation . . . . . . . . . . . . . . . . . . . . . . . . . . . . . . . . . . . . . . . . .</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Officers compensation . . . . . . . . . . . . . . . . . . . . . . . . . . . . . . . . . . . . . . .</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9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5"/>
              </w:rPr>
              <w:t>Transaction costs . . . . . . . . . . . . . . . . . . . . . . . . . . . . . . . . . . . . . . . . . . . .</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8"/>
              </w:rPr>
              <w:t>Change in valuation allowance . . . . . . . . . . . . . . . . . . . . . . . . . . . . . . . .</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9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 . .</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940" w:type="dxa"/>
            <w:vAlign w:val="bottom"/>
          </w:tcPr>
          <w:p>
            <w:pPr>
              <w:jc w:val="right"/>
              <w:ind w:right="260"/>
              <w:spacing w:after="0" w:line="223" w:lineRule="exact"/>
              <w:rPr>
                <w:sz w:val="20"/>
                <w:szCs w:val="20"/>
                <w:color w:val="auto"/>
              </w:rPr>
            </w:pPr>
            <w:r>
              <w:rPr>
                <w:rFonts w:ascii="Times New Roman" w:cs="Times New Roman" w:eastAsia="Times New Roman" w:hAnsi="Times New Roman"/>
                <w:sz w:val="20"/>
                <w:szCs w:val="20"/>
                <w:color w:val="auto"/>
                <w:w w:val="96"/>
              </w:rPr>
              <w:t>Effective tax rate . . . . . . . . . . . . . . . . . . . . . . . . . . . . . . . . . . . . . . . . . . . .</w:t>
            </w:r>
          </w:p>
        </w:tc>
        <w:tc>
          <w:tcPr>
            <w:tcW w:w="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0.0</w:t>
            </w:r>
          </w:p>
        </w:tc>
        <w:tc>
          <w:tcPr>
            <w:tcW w:w="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reconciliation of unrecognized tax benefits at the beginning and end of 2025 and 2024 is as follows (in thousands):</w:t>
      </w:r>
    </w:p>
    <w:p>
      <w:pPr>
        <w:spacing w:after="0" w:line="260"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360" w:type="dxa"/>
            <w:vAlign w:val="bottom"/>
            <w:vMerge w:val="restart"/>
          </w:tcPr>
          <w:p>
            <w:pPr>
              <w:jc w:val="right"/>
              <w:ind w:right="4120"/>
              <w:spacing w:after="0"/>
              <w:rPr>
                <w:sz w:val="20"/>
                <w:szCs w:val="20"/>
                <w:color w:val="auto"/>
              </w:rPr>
            </w:pPr>
            <w:r>
              <w:rPr>
                <w:rFonts w:ascii="Times New Roman" w:cs="Times New Roman" w:eastAsia="Times New Roman" w:hAnsi="Times New Roman"/>
                <w:sz w:val="20"/>
                <w:szCs w:val="20"/>
                <w:color w:val="auto"/>
                <w:w w:val="98"/>
              </w:rPr>
              <w:t>Balance, beginning of year</w:t>
            </w: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1"/>
        </w:trPr>
        <w:tc>
          <w:tcPr>
            <w:tcW w:w="6360" w:type="dxa"/>
            <w:vAlign w:val="bottom"/>
            <w:vMerge w:val="continue"/>
          </w:tcPr>
          <w:p>
            <w:pPr>
              <w:jc w:val="right"/>
              <w:ind w:right="2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w:t>
            </w:r>
          </w:p>
        </w:tc>
        <w:tc>
          <w:tcPr>
            <w:tcW w:w="20" w:type="dxa"/>
            <w:vAlign w:val="bottom"/>
          </w:tcPr>
          <w:p>
            <w:pPr>
              <w:spacing w:after="0"/>
              <w:rPr>
                <w:sz w:val="17"/>
                <w:szCs w:val="17"/>
                <w:color w:val="auto"/>
              </w:rPr>
            </w:pPr>
          </w:p>
        </w:tc>
        <w:tc>
          <w:tcPr>
            <w:tcW w:w="280" w:type="dxa"/>
            <w:vAlign w:val="bottom"/>
          </w:tcPr>
          <w:p>
            <w:pPr>
              <w:jc w:val="right"/>
              <w:ind w:right="8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16,115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jc w:val="right"/>
              <w:ind w:right="20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14,670</w:t>
            </w:r>
          </w:p>
        </w:tc>
        <w:tc>
          <w:tcPr>
            <w:tcW w:w="0" w:type="dxa"/>
            <w:vAlign w:val="bottom"/>
          </w:tcPr>
          <w:p>
            <w:pPr>
              <w:spacing w:after="0"/>
              <w:rPr>
                <w:sz w:val="1"/>
                <w:szCs w:val="1"/>
                <w:color w:val="auto"/>
              </w:rPr>
            </w:pPr>
          </w:p>
        </w:tc>
      </w:tr>
      <w:tr>
        <w:trPr>
          <w:trHeight w:val="229"/>
        </w:trPr>
        <w:tc>
          <w:tcPr>
            <w:tcW w:w="63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7"/>
              </w:rPr>
              <w:t>Increases due to current year tax positions. . . . . . . . . . . . . . . . . . . . . . . . . . . .</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w:t>
            </w:r>
          </w:p>
        </w:tc>
        <w:tc>
          <w:tcPr>
            <w:tcW w:w="0" w:type="dxa"/>
            <w:vAlign w:val="bottom"/>
          </w:tcPr>
          <w:p>
            <w:pPr>
              <w:spacing w:after="0"/>
              <w:rPr>
                <w:sz w:val="1"/>
                <w:szCs w:val="1"/>
                <w:color w:val="auto"/>
              </w:rPr>
            </w:pPr>
          </w:p>
        </w:tc>
      </w:tr>
      <w:tr>
        <w:trPr>
          <w:trHeight w:val="250"/>
        </w:trPr>
        <w:tc>
          <w:tcPr>
            <w:tcW w:w="63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7"/>
              </w:rPr>
              <w:t>Decreases due to prior year tax positions . . . . . . . . . . . . . . . . . . . . . . . . . . . . .</w:t>
            </w: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360" w:type="dxa"/>
            <w:vAlign w:val="bottom"/>
          </w:tcPr>
          <w:p>
            <w:pPr>
              <w:jc w:val="right"/>
              <w:ind w:right="26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.Balance,endofyear</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16,412</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16,115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The Company has considered the amounts and probabilities of the outcomes that can be realized upon ultimate settlement with the tax authorities and determined unrecognized tax benefits should be established of $16.4 million and $16.1 million as of December 31, 2025 and 2024, respectively. The Company’s effective income tax rate would not be impacted if the unrecognized tax benefits are recognized.</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1880" w:h="15480" w:orient="portrait"/>
          <w:cols w:equalWidth="0" w:num="1">
            <w:col w:w="10800"/>
          </w:cols>
          <w:pgMar w:left="540" w:top="1349" w:right="540" w:bottom="0" w:gutter="0" w:footer="0" w:header="0"/>
          <w:type w:val="continuous"/>
        </w:sectPr>
      </w:pPr>
    </w:p>
    <w:bookmarkStart w:id="115" w:name="page116"/>
    <w:bookmarkEnd w:id="115"/>
    <w:p>
      <w:pPr>
        <w:ind w:right="120" w:firstLine="360"/>
        <w:spacing w:after="0" w:line="259" w:lineRule="auto"/>
        <w:rPr>
          <w:sz w:val="20"/>
          <w:szCs w:val="20"/>
          <w:color w:val="auto"/>
        </w:rPr>
      </w:pPr>
      <w:r>
        <w:rPr>
          <w:rFonts w:ascii="Times New Roman" w:cs="Times New Roman" w:eastAsia="Times New Roman" w:hAnsi="Times New Roman"/>
          <w:sz w:val="20"/>
          <w:szCs w:val="20"/>
          <w:color w:val="auto"/>
        </w:rPr>
        <w:t>The Company’s policy is to recognize interest expense and penalties related to income tax matters as a component of income tax expense. There were no accrued interest and penalties associated with uncertain tax positions as of December 31, 2025. The Company’s tax returns for all years since inception are open for audit.</w:t>
      </w:r>
    </w:p>
    <w:p>
      <w:pPr>
        <w:spacing w:after="0" w:line="186" w:lineRule="exact"/>
        <w:rPr>
          <w:sz w:val="20"/>
          <w:szCs w:val="20"/>
          <w:color w:val="auto"/>
        </w:rPr>
      </w:pPr>
    </w:p>
    <w:p>
      <w:pPr>
        <w:ind w:right="40" w:firstLine="360"/>
        <w:spacing w:after="0" w:line="259" w:lineRule="auto"/>
        <w:rPr>
          <w:sz w:val="20"/>
          <w:szCs w:val="20"/>
          <w:color w:val="auto"/>
        </w:rPr>
      </w:pPr>
      <w:r>
        <w:rPr>
          <w:rFonts w:ascii="Times New Roman" w:cs="Times New Roman" w:eastAsia="Times New Roman" w:hAnsi="Times New Roman"/>
          <w:sz w:val="20"/>
          <w:szCs w:val="20"/>
          <w:color w:val="auto"/>
        </w:rPr>
        <w:t>For the year ended December 31, 2025, the amount of income taxes paid, net of refunds received, to the State of California was $3 thousand. The Company measures deferred tax assets and liabilities using enacted tax rates that will apply in the years in which the temporary differences are expected to be recovered or paid.</w:t>
      </w:r>
    </w:p>
    <w:p>
      <w:pPr>
        <w:spacing w:after="0" w:line="186"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On July 4, 2025, the One Big Beautiful Bill Act (“OBBBA”) was signed into law in the United States, introducing a wide array of tax reform measures. These include extensions and modifications to certain provisions originally enacted under the Tax Cuts and Jobs Act. Key changes include the immediate expensing of domestic research and development costs and the reinstatement of 100 percent bonus depreciation. For the year ending December 31, 2025, the impact from the OBBBA provisions did not impact the effective tax rate. The Company will continue to evaluate the OBBBA provisions for their potential impact on future periods.</w:t>
      </w:r>
    </w:p>
    <w:p>
      <w:pPr>
        <w:spacing w:after="0" w:line="19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Note 9.</w:t>
      </w:r>
      <w:r>
        <w:rPr>
          <w:sz w:val="20"/>
          <w:szCs w:val="20"/>
          <w:color w:val="auto"/>
        </w:rPr>
        <w:tab/>
      </w:r>
      <w:r>
        <w:rPr>
          <w:rFonts w:ascii="Times New Roman" w:cs="Times New Roman" w:eastAsia="Times New Roman" w:hAnsi="Times New Roman"/>
          <w:sz w:val="19"/>
          <w:szCs w:val="19"/>
          <w:b w:val="1"/>
          <w:bCs w:val="1"/>
          <w:color w:val="auto"/>
        </w:rPr>
        <w:t>Common stock</w:t>
      </w:r>
    </w:p>
    <w:p>
      <w:pPr>
        <w:spacing w:after="0" w:line="243"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On February 24, 2025, the Company held a special stockholder meeting, at which stockholders voted, among other matters, to amend the Company’s Certificate of Incorporation, as amended and restated, to increase the number of authorized common stock from 500,000,000 to 1,040,000,000 shares of common stock at par value of $0.0001 per share. The holders of common stock are entitled to receive dividends whenever funds are legally available, when and if declared by the Company’s Board of Directors. As of December 31, 2025, there have been no cash dividend declared to date. Each share of common stock is entitled to one vote.</w:t>
      </w:r>
    </w:p>
    <w:p>
      <w:pPr>
        <w:spacing w:after="0" w:line="197" w:lineRule="exact"/>
        <w:rPr>
          <w:sz w:val="20"/>
          <w:szCs w:val="20"/>
          <w:color w:val="auto"/>
        </w:rPr>
      </w:pPr>
    </w:p>
    <w:p>
      <w:pPr>
        <w:ind w:right="20" w:firstLine="361"/>
        <w:spacing w:after="0" w:line="243" w:lineRule="auto"/>
        <w:rPr>
          <w:sz w:val="20"/>
          <w:szCs w:val="20"/>
          <w:color w:val="auto"/>
        </w:rPr>
      </w:pPr>
      <w:r>
        <w:rPr>
          <w:rFonts w:ascii="Times New Roman" w:cs="Times New Roman" w:eastAsia="Times New Roman" w:hAnsi="Times New Roman"/>
          <w:sz w:val="20"/>
          <w:szCs w:val="20"/>
          <w:color w:val="auto"/>
        </w:rPr>
        <w:t>On February 24, 2025, following a special stockholder meeting, the board of directions of the Company (the “Board”) approved the filing of a Certificate of Amendment to the Certificate of Incorporation to effect a reverse stock split at a split ratio of 1-for-72 (the “Reverse Stock Split”). As a result of the Reverse Stock Split, each 72 pre-split shares of common stock outstanding was automatically combined into one new share of common stock without any action on the part of the holders. The Reverse Stock Split affected all of the Company’s stockholders uniformly and did not affect any stockholder’s percentage ownership interests in the Company. No fractional shares were issued in connection with the Reverse Stock Split. In lieu of fractional shares, any person who would otherwise be entitled to a fractional share of common stock as a result of the reclassification and combination following the effective time of the Reverse Stock Split (after taking into account all fractional shares of common stock otherwise issuable to such holder) instead received a number of shares rounded up to the nearest whole share. Proportional adjustments were made to the number of shares of common stock issuable upon exercise or conversion of the Company’s outstanding equity awards and warrants, as well as the applicable exercise price, except in cases where the applicable agreement provides otherwise. All share and per share amounts in the accompanying consolidated financial statements have been retroactively adjusted to reflect the Reverse Stock Split for all periods presented.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Reserved</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table below summarizes the Company’s reserved common stock for further issuance as of December 31, 2025 and 2024:</w:t>
      </w:r>
    </w:p>
    <w:p>
      <w:pPr>
        <w:spacing w:after="0" w:line="259"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gridSpan w:val="2"/>
          </w:tcPr>
          <w:p>
            <w:pPr>
              <w:spacing w:after="0"/>
              <w:rPr>
                <w:sz w:val="17"/>
                <w:szCs w:val="17"/>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87"/>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 options issued and outstanding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158,005</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98,971</w:t>
            </w:r>
          </w:p>
        </w:tc>
      </w:tr>
      <w:tr>
        <w:trPr>
          <w:trHeight w:val="232"/>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Restricted stock units (unvested)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695,707</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25,613</w:t>
            </w:r>
          </w:p>
        </w:tc>
      </w:tr>
      <w:tr>
        <w:trPr>
          <w:trHeight w:val="230"/>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available for future issuance under the stock incentive</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plans and employee stock purchase plan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328,642</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25,818</w:t>
            </w:r>
          </w:p>
        </w:tc>
      </w:tr>
      <w:tr>
        <w:trPr>
          <w:trHeight w:val="232"/>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Warrants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3,807,911</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55,403</w:t>
            </w:r>
          </w:p>
        </w:tc>
      </w:tr>
      <w:tr>
        <w:trPr>
          <w:trHeight w:val="230"/>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Pre-funded warrants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1,964,905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Contingent consideration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208,657</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222,653</w:t>
            </w:r>
          </w:p>
        </w:tc>
      </w:tr>
      <w:tr>
        <w:trPr>
          <w:trHeight w:val="251"/>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Convertible notes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23,155,011</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399,128</w:t>
            </w:r>
          </w:p>
        </w:tc>
      </w:tr>
      <w:tr>
        <w:trPr>
          <w:trHeight w:val="231"/>
        </w:trPr>
        <w:tc>
          <w:tcPr>
            <w:tcW w:w="6280" w:type="dxa"/>
            <w:vAlign w:val="bottom"/>
          </w:tcPr>
          <w:p>
            <w:pPr>
              <w:ind w:left="120"/>
              <w:spacing w:after="0" w:line="223" w:lineRule="exact"/>
              <w:rPr>
                <w:sz w:val="20"/>
                <w:szCs w:val="20"/>
                <w:color w:val="auto"/>
              </w:rPr>
            </w:pPr>
            <w:r>
              <w:rPr>
                <w:rFonts w:ascii="Times New Roman" w:cs="Times New Roman" w:eastAsia="Times New Roman" w:hAnsi="Times New Roman"/>
                <w:sz w:val="20"/>
                <w:szCs w:val="20"/>
                <w:color w:val="auto"/>
              </w:rPr>
              <w:t>Total common stock reserved . . . . . . . . . . . . . . . . . . . . . . . . . . . . . . . . . . . . .</w:t>
            </w:r>
          </w:p>
        </w:tc>
        <w:tc>
          <w:tcPr>
            <w:tcW w:w="20" w:type="dxa"/>
            <w:vAlign w:val="bottom"/>
            <w:tcBorders>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30,318,838</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827,586</w:t>
            </w:r>
          </w:p>
        </w:tc>
      </w:tr>
    </w:tbl>
    <w:p>
      <w:pPr>
        <w:spacing w:after="0" w:line="200" w:lineRule="exact"/>
        <w:rPr>
          <w:sz w:val="20"/>
          <w:szCs w:val="20"/>
          <w:color w:val="auto"/>
        </w:rPr>
      </w:pP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112</w:t>
      </w:r>
    </w:p>
    <w:p>
      <w:pPr>
        <w:sectPr>
          <w:pgSz w:w="11880" w:h="15480" w:orient="portrait"/>
          <w:cols w:equalWidth="0" w:num="1">
            <w:col w:w="10780"/>
          </w:cols>
          <w:pgMar w:left="540" w:top="1349" w:right="56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i w:val="1"/>
          <w:iCs w:val="1"/>
          <w:color w:val="auto"/>
        </w:rPr>
        <w:t>ATM Offering of Common Stock</w:t>
      </w:r>
    </w:p>
    <w:p>
      <w:pPr>
        <w:spacing w:after="0" w:line="117" w:lineRule="exact"/>
        <w:rPr>
          <w:sz w:val="20"/>
          <w:szCs w:val="20"/>
          <w:color w:val="auto"/>
        </w:rPr>
      </w:pPr>
    </w:p>
    <w:p>
      <w:pPr>
        <w:ind w:right="140" w:firstLine="360"/>
        <w:spacing w:after="0" w:line="243" w:lineRule="auto"/>
        <w:rPr>
          <w:sz w:val="20"/>
          <w:szCs w:val="20"/>
          <w:color w:val="auto"/>
        </w:rPr>
      </w:pPr>
      <w:r>
        <w:rPr>
          <w:rFonts w:ascii="Times New Roman" w:cs="Times New Roman" w:eastAsia="Times New Roman" w:hAnsi="Times New Roman"/>
          <w:sz w:val="20"/>
          <w:szCs w:val="20"/>
          <w:color w:val="auto"/>
        </w:rPr>
        <w:t>On August 14, 2024, the Company entered into an “at-the-market” sales agreement with Leerink Partners relating to the ATM, pursuant to which the Company may offer and sell, from time to time at its sole discretion, shares of common stock, registered pursuant to a shelf registration statement on Form S-3 (No. 333-281562) (as amended and supplemented, the “Registration Statement”) that the SEC declared effective on August 21, 2024, having aggregate gross proceeds of up to $50.0 million through Leerink Partners as sales agent. Any sales by us pursuant to the Registration Statement, including any sales pursuant to the ATM, are subject to any limits imposed under applicable law, including General Instructions I.B.1 and I.B.6 of Form S-3. Under the ATM, Leerink Partners is entitled to commission at a rate equal to 3.0% of the gross proceeds from sales of shares of common stock under the ATM. For the years ended December 31, 2025 and 2024, there were 218,419 shares and 2,241 shares issued under the ATM for net proceeds of approximately $0.2 million and $0.2 million, respectively. As of December 31, 2025, the cumulative shares issued under the ATM were 220,660 shares net proceeds of approximately $0.3 million and approximately $49.7 million of common stock remains available to be sold under the ATM. The Company may cancel its at-the-market program at any time upon prior notice, pursuant to its terms.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2023 Employee Stock Purchase Plan (“ESPP”)</w:t>
      </w:r>
    </w:p>
    <w:p>
      <w:pPr>
        <w:spacing w:after="0" w:line="117" w:lineRule="exact"/>
        <w:rPr>
          <w:sz w:val="20"/>
          <w:szCs w:val="20"/>
          <w:color w:val="auto"/>
        </w:rPr>
      </w:pPr>
    </w:p>
    <w:p>
      <w:pPr>
        <w:ind w:right="100" w:firstLine="360"/>
        <w:spacing w:after="0" w:line="245" w:lineRule="auto"/>
        <w:rPr>
          <w:sz w:val="20"/>
          <w:szCs w:val="20"/>
          <w:color w:val="auto"/>
        </w:rPr>
      </w:pPr>
      <w:r>
        <w:rPr>
          <w:rFonts w:ascii="Times New Roman" w:cs="Times New Roman" w:eastAsia="Times New Roman" w:hAnsi="Times New Roman"/>
          <w:sz w:val="20"/>
          <w:szCs w:val="20"/>
          <w:color w:val="auto"/>
        </w:rPr>
        <w:t>The 2023 ESPP assists eligible employees in acquiring a stock ownership interest of the Company’s common stock in consideration of the participating employees’ continued services. Eligible employees will be entitled to purchase, by means of payroll deductions, limited amounts of the Company’s common stock at a discount during periodic offering periods. There were 6,780 shares initially reserved for issuance under the 2023 ESPP, which shall automatically increase on January 1 of each calendar year beginning and including January 1, 2024 and ending on and including January 1, 2033, by an amount equal to the lesser of (i) 1.0% of the total number of shares of common stock issued and outstanding on January 1 of the year in which such increase is to occur, or (ii) such smaller number of shares of common stock as may be established by the Board of Directors. As of December 31, 2025, there were 19,419 shares available for issuance. There have been no shares issued under the 2023 ESPP.</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Note 10.</w:t>
      </w:r>
      <w:r>
        <w:rPr>
          <w:sz w:val="20"/>
          <w:szCs w:val="20"/>
          <w:color w:val="auto"/>
        </w:rPr>
        <w:tab/>
      </w:r>
      <w:r>
        <w:rPr>
          <w:rFonts w:ascii="Times New Roman" w:cs="Times New Roman" w:eastAsia="Times New Roman" w:hAnsi="Times New Roman"/>
          <w:sz w:val="19"/>
          <w:szCs w:val="19"/>
          <w:b w:val="1"/>
          <w:bCs w:val="1"/>
          <w:color w:val="auto"/>
        </w:rPr>
        <w:t>Share-based Compensation Stock Incentive Plans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2019 Incentive Award Plan</w:t>
      </w:r>
    </w:p>
    <w:p>
      <w:pPr>
        <w:spacing w:after="0" w:line="117"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In June 2019, Old AEON established the 2019 Incentive Award Plan (the “2019 Incentive Award Plan”), as amended from time to time, that provides for the granting of incentive and nonqualified stock options, restricted stock units (“RSU”), restricted stock and stock appreciation rights to its employees, members of the Board of Directors and non-employee consultants. Stock options granted generally expire ten years after their original date of grant and generally vest between three years to four years with 25% vesting on the first anniversary of the date of grant and then monthly vesting after that. Stock options granted to a 10% stockholder are exercisable up to five years from the date of grant. Restricted stock awards granted generally become fully vested between one to three years.</w:t>
      </w:r>
    </w:p>
    <w:p>
      <w:pPr>
        <w:spacing w:after="0" w:line="81" w:lineRule="exact"/>
        <w:rPr>
          <w:sz w:val="20"/>
          <w:szCs w:val="20"/>
          <w:color w:val="auto"/>
        </w:rPr>
      </w:pPr>
    </w:p>
    <w:p>
      <w:pPr>
        <w:ind w:right="120" w:firstLine="360"/>
        <w:spacing w:after="0" w:line="247" w:lineRule="auto"/>
        <w:rPr>
          <w:sz w:val="20"/>
          <w:szCs w:val="20"/>
          <w:color w:val="auto"/>
        </w:rPr>
      </w:pPr>
      <w:r>
        <w:rPr>
          <w:rFonts w:ascii="Times New Roman" w:cs="Times New Roman" w:eastAsia="Times New Roman" w:hAnsi="Times New Roman"/>
          <w:sz w:val="20"/>
          <w:szCs w:val="20"/>
          <w:color w:val="auto"/>
        </w:rPr>
        <w:t>In connection with the Merger, the Company assumed the 2019 Incentive Award Plan and all options and RSU awards that were outstanding immediately prior to the Merger were converted into substantially similar awards covering shares of the Company’s common stock based on a conversion ratio of approximately 1.078 to 1 share. Additionally, the exercise price for the awards were repriced to $720.00 for all options. The fair value of the replacement awards that were vested based on the value immediately prior to the Merger were included as purchase consideration. The remaining value of the replacement awards is recognized as compensation expense over the remaining vesting period.</w:t>
      </w:r>
    </w:p>
    <w:p>
      <w:pPr>
        <w:spacing w:after="0" w:line="200" w:lineRule="exact"/>
        <w:rPr>
          <w:sz w:val="20"/>
          <w:szCs w:val="20"/>
          <w:color w:val="auto"/>
        </w:rPr>
      </w:pPr>
    </w:p>
    <w:p>
      <w:pPr>
        <w:ind w:right="100" w:firstLine="360"/>
        <w:spacing w:after="0" w:line="252" w:lineRule="auto"/>
        <w:rPr>
          <w:sz w:val="20"/>
          <w:szCs w:val="20"/>
          <w:color w:val="auto"/>
        </w:rPr>
      </w:pPr>
      <w:r>
        <w:rPr>
          <w:rFonts w:ascii="Times New Roman" w:cs="Times New Roman" w:eastAsia="Times New Roman" w:hAnsi="Times New Roman"/>
          <w:sz w:val="20"/>
          <w:szCs w:val="20"/>
          <w:color w:val="auto"/>
        </w:rPr>
        <w:t>Prior to the consummation of the Merger, a total of 237,500 shares of ABP Sub Inc. common stock were available for issuance under the 2019 Incentive Award Plan. Following the effective date of the 2023 Plan, in the event that an outstanding award expires or is cancelled for any reason, the shares allocable to the unexercised or cancelled portion of such award from the 2019 Incentive Award Plan will be added back to the shares of common stock available for issuance under the 2023 Plan.</w:t>
      </w:r>
    </w:p>
    <w:p>
      <w:pPr>
        <w:spacing w:after="0" w:line="193"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Certain RSU awards contain performance-based vesting criteria based on the achievement of the same milestones as the contingent consideration (see Note 6 Fair Value Measurements for additional information). Upon designation of a probable milestone, the Company expenses the proportionate RSU’s over the vesting term, calculated as the period from the date the milestone was determined to be probable and the expected achievement date of the milestone.</w:t>
      </w:r>
    </w:p>
    <w:p>
      <w:pPr>
        <w:sectPr>
          <w:pgSz w:w="11880" w:h="15480" w:orient="portrait"/>
          <w:cols w:equalWidth="0" w:num="1">
            <w:col w:w="10800"/>
          </w:cols>
          <w:pgMar w:left="540" w:top="13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1880" w:h="15480" w:orient="portrait"/>
          <w:cols w:equalWidth="0" w:num="1">
            <w:col w:w="10800"/>
          </w:cols>
          <w:pgMar w:left="540" w:top="1353" w:right="540" w:bottom="0" w:gutter="0" w:footer="0" w:header="0"/>
          <w:type w:val="continuous"/>
        </w:sectPr>
      </w:pPr>
    </w:p>
    <w:bookmarkStart w:id="117" w:name="page118"/>
    <w:bookmarkEnd w:id="117"/>
    <w:p>
      <w:pPr>
        <w:ind w:left="360"/>
        <w:spacing w:after="0"/>
        <w:rPr>
          <w:sz w:val="20"/>
          <w:szCs w:val="20"/>
          <w:color w:val="auto"/>
        </w:rPr>
      </w:pPr>
      <w:r>
        <w:rPr>
          <w:rFonts w:ascii="Times New Roman" w:cs="Times New Roman" w:eastAsia="Times New Roman" w:hAnsi="Times New Roman"/>
          <w:sz w:val="20"/>
          <w:szCs w:val="20"/>
          <w:color w:val="auto"/>
        </w:rPr>
        <w:t>The following table summarizes stock option activity in 2025 under 2019 Incentive Award Plan:</w:t>
      </w:r>
    </w:p>
    <w:p>
      <w:pPr>
        <w:spacing w:after="0" w:line="259"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85"/>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0" w:type="dxa"/>
            <w:vAlign w:val="bottom"/>
          </w:tcPr>
          <w:p>
            <w:pPr>
              <w:spacing w:after="0"/>
              <w:rPr>
                <w:sz w:val="1"/>
                <w:szCs w:val="1"/>
                <w:color w:val="auto"/>
              </w:rPr>
            </w:pPr>
          </w:p>
        </w:tc>
      </w:tr>
      <w:tr>
        <w:trPr>
          <w:trHeight w:val="203"/>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Outstanding, January 1, 2025</w:t>
            </w:r>
          </w:p>
        </w:tc>
        <w:tc>
          <w:tcPr>
            <w:tcW w:w="10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01"/>
        </w:trPr>
        <w:tc>
          <w:tcPr>
            <w:tcW w:w="6620" w:type="dxa"/>
            <w:vAlign w:val="bottom"/>
            <w:gridSpan w:val="2"/>
            <w:vMerge w:val="continue"/>
          </w:tcPr>
          <w:p>
            <w:pPr>
              <w:jc w:val="right"/>
              <w:ind w:right="3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w:t>
            </w:r>
          </w:p>
        </w:tc>
        <w:tc>
          <w:tcPr>
            <w:tcW w:w="10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47,955</w:t>
            </w:r>
          </w:p>
        </w:tc>
        <w:tc>
          <w:tcPr>
            <w:tcW w:w="24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720.00</w:t>
            </w:r>
          </w:p>
        </w:tc>
        <w:tc>
          <w:tcPr>
            <w:tcW w:w="0" w:type="dxa"/>
            <w:vAlign w:val="bottom"/>
          </w:tcPr>
          <w:p>
            <w:pPr>
              <w:spacing w:after="0"/>
              <w:rPr>
                <w:sz w:val="1"/>
                <w:szCs w:val="1"/>
                <w:color w:val="auto"/>
              </w:rPr>
            </w:pPr>
          </w:p>
        </w:tc>
      </w:tr>
      <w:tr>
        <w:trPr>
          <w:trHeight w:val="230"/>
        </w:trPr>
        <w:tc>
          <w:tcPr>
            <w:tcW w:w="6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Options granted . . . . . . . . . . . . . . . . . . . . . . . . . . . . . . . . . . . . . . . . . . . . . . . . . . .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6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Options forfeited . . . . . . . . . . . . . . . . . . . . . . . . . . . . . . . . . . . . . . . . . . . . . . . . . .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6620" w:type="dxa"/>
            <w:vAlign w:val="bottom"/>
            <w:gridSpan w:val="2"/>
          </w:tcPr>
          <w:p>
            <w:pPr>
              <w:jc w:val="right"/>
              <w:ind w:right="34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.Outstanding,December31,2025</w:t>
            </w:r>
          </w:p>
        </w:tc>
        <w:tc>
          <w:tcPr>
            <w:tcW w:w="10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47,955</w:t>
            </w:r>
          </w:p>
        </w:tc>
        <w:tc>
          <w:tcPr>
            <w:tcW w:w="4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720.00</w:t>
            </w:r>
          </w:p>
        </w:tc>
        <w:tc>
          <w:tcPr>
            <w:tcW w:w="0" w:type="dxa"/>
            <w:vAlign w:val="bottom"/>
          </w:tcPr>
          <w:p>
            <w:pPr>
              <w:spacing w:after="0"/>
              <w:rPr>
                <w:sz w:val="1"/>
                <w:szCs w:val="1"/>
                <w:color w:val="auto"/>
              </w:rPr>
            </w:pPr>
          </w:p>
        </w:tc>
      </w:tr>
      <w:tr>
        <w:trPr>
          <w:trHeight w:val="240"/>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Exercisable, December 31, 2025 . . . . . . . . . . . . . . . . . . . . . . . . . . . . . . . . . . . . . .</w:t>
            </w: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44,707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720.00</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860" w:firstLine="360"/>
        <w:spacing w:after="0" w:line="278" w:lineRule="auto"/>
        <w:rPr>
          <w:sz w:val="20"/>
          <w:szCs w:val="20"/>
          <w:color w:val="auto"/>
        </w:rPr>
      </w:pPr>
      <w:r>
        <w:rPr>
          <w:rFonts w:ascii="Times New Roman" w:cs="Times New Roman" w:eastAsia="Times New Roman" w:hAnsi="Times New Roman"/>
          <w:sz w:val="20"/>
          <w:szCs w:val="20"/>
          <w:color w:val="auto"/>
        </w:rPr>
        <w:t>As of December 31, 2025 and 2024, the weighted average remaining contractual life of options outstanding and options exercisable was 5.0 years and 6.0 years.</w:t>
      </w:r>
    </w:p>
    <w:p>
      <w:pPr>
        <w:spacing w:after="0" w:line="127" w:lineRule="exact"/>
        <w:rPr>
          <w:sz w:val="20"/>
          <w:szCs w:val="20"/>
          <w:color w:val="auto"/>
        </w:rPr>
      </w:pPr>
    </w:p>
    <w:p>
      <w:pPr>
        <w:ind w:right="340" w:firstLine="360"/>
        <w:spacing w:after="0" w:line="278"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recognized $1.6 million and $2.9 million, respectively, of share-based compensation expense related to stock options granted.</w:t>
      </w:r>
    </w:p>
    <w:p>
      <w:pPr>
        <w:spacing w:after="0" w:line="127"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As of December 31, 2025, total unrecognized compensation expense related to nonvested stock options was $0.2 million, which is expected to be recognized over the weighted-average remaining requisite service period of 1 month.</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restricted stock units activity in 2025 under the 2019 Incentive Award Plan:</w:t>
      </w:r>
    </w:p>
    <w:p>
      <w:pPr>
        <w:spacing w:after="0" w:line="259"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85"/>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03"/>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Outstanding, January 1, 2025</w:t>
            </w:r>
          </w:p>
        </w:tc>
        <w:tc>
          <w:tcPr>
            <w:tcW w:w="10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1"/>
        </w:trPr>
        <w:tc>
          <w:tcPr>
            <w:tcW w:w="6620" w:type="dxa"/>
            <w:vAlign w:val="bottom"/>
            <w:gridSpan w:val="2"/>
            <w:vMerge w:val="continue"/>
          </w:tcPr>
          <w:p>
            <w:pPr>
              <w:jc w:val="right"/>
              <w:ind w:right="3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w:t>
            </w:r>
          </w:p>
        </w:tc>
        <w:tc>
          <w:tcPr>
            <w:tcW w:w="10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11,398</w:t>
            </w:r>
          </w:p>
        </w:tc>
        <w:tc>
          <w:tcPr>
            <w:tcW w:w="24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780.48</w:t>
            </w:r>
          </w:p>
        </w:tc>
        <w:tc>
          <w:tcPr>
            <w:tcW w:w="0" w:type="dxa"/>
            <w:vAlign w:val="bottom"/>
          </w:tcPr>
          <w:p>
            <w:pPr>
              <w:spacing w:after="0"/>
              <w:rPr>
                <w:sz w:val="1"/>
                <w:szCs w:val="1"/>
                <w:color w:val="auto"/>
              </w:rPr>
            </w:pPr>
          </w:p>
        </w:tc>
      </w:tr>
      <w:tr>
        <w:trPr>
          <w:trHeight w:val="230"/>
        </w:trPr>
        <w:tc>
          <w:tcPr>
            <w:tcW w:w="6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5"/>
              </w:rPr>
              <w:t>Granted . . . . . . . . . . . . . . . . . . . . . . . . . . . . . . . . . . . . . . . . . . . . . . . . . . . . . . . . . .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6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5"/>
              </w:rPr>
              <w:t>Vested . . . . . . . . . . . . . . . . . . . . . . . . . . . . . . . . . . . . . . . . . . . . . . . . . . . . . . . . . . .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6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5"/>
              </w:rPr>
              <w:t>Forfeited . . . . . . . . . . . . . . . . . . . . . . . . . . . . . . . . . . . . . . . . . . . . . . . . . . . . . . . . .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60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w w:val="97"/>
              </w:rPr>
              <w:t>Outstanding, December 31, 2025 . . . . . . . . . . . . . . . . . . . . . . . . . . . . . . . . . . . . . .</w:t>
            </w: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9,351</w:t>
            </w:r>
          </w:p>
        </w:tc>
        <w:tc>
          <w:tcPr>
            <w:tcW w:w="40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780.48</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80" w:firstLine="36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2025 and 2024, the Company recognized $1.3 million and $1.3 million, respectively, of share-based compensation expense related to restricted stock units granted, excluding restricted stock units with earnout vesting criteria. For the restricted stock units with earnout vesting criteria, the Company recognized $(0.7) million and $0.3 million of (gain) expense for the years ended December 31, 2025 and 2024, respectively. During the third quarter of 2025, the Company determined that the earnout vesting criteria was no longer probable, as such, the Company reversed $1.0 million of share-based compensation expense related to the restricted stock units with earnout criteria.</w:t>
      </w:r>
    </w:p>
    <w:p>
      <w:pPr>
        <w:spacing w:after="0" w:line="14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As of December 31, 2025, total unrecognized compensation expense related to nonvested restricted stock units, excluding</w:t>
      </w:r>
    </w:p>
    <w:p>
      <w:pPr>
        <w:spacing w:after="0" w:line="28" w:lineRule="exact"/>
        <w:rPr>
          <w:sz w:val="20"/>
          <w:szCs w:val="20"/>
          <w:color w:val="auto"/>
        </w:rPr>
      </w:pPr>
    </w:p>
    <w:p>
      <w:pPr>
        <w:ind w:right="140" w:firstLine="1"/>
        <w:spacing w:after="0"/>
        <w:rPr>
          <w:sz w:val="20"/>
          <w:szCs w:val="20"/>
          <w:color w:val="auto"/>
        </w:rPr>
      </w:pPr>
      <w:r>
        <w:rPr>
          <w:rFonts w:ascii="Times New Roman" w:cs="Times New Roman" w:eastAsia="Times New Roman" w:hAnsi="Times New Roman"/>
          <w:sz w:val="20"/>
          <w:szCs w:val="20"/>
          <w:color w:val="auto"/>
        </w:rPr>
        <w:t>restricted stock units with earnout vesting criteria, was $1.7 million, which is expected to be recognized over the weighted-average remaining requisite service period of 12 months. As of December 31, 2025, the unrecognized compensation expense related to the restricted stock units with the earnout criteria, due to the vesting criteria not being probable, was $4.7 million, and will be recognized when the milestones are determined to be probable over the RSUs vesting term, calculated as the period from the date the milestone was determined to be probable and the expected achievement date of the milestone. As of December 31, 2025, there were</w:t>
      </w:r>
    </w:p>
    <w:p>
      <w:pPr>
        <w:spacing w:after="0" w:line="1" w:lineRule="exact"/>
        <w:rPr>
          <w:sz w:val="20"/>
          <w:szCs w:val="20"/>
          <w:color w:val="auto"/>
        </w:rPr>
      </w:pPr>
    </w:p>
    <w:p>
      <w:pPr>
        <w:ind w:right="1760"/>
        <w:spacing w:after="0" w:line="391" w:lineRule="auto"/>
        <w:rPr>
          <w:sz w:val="20"/>
          <w:szCs w:val="20"/>
          <w:color w:val="auto"/>
        </w:rPr>
      </w:pPr>
      <w:r>
        <w:rPr>
          <w:rFonts w:ascii="Times New Roman" w:cs="Times New Roman" w:eastAsia="Times New Roman" w:hAnsi="Times New Roman"/>
          <w:sz w:val="20"/>
          <w:szCs w:val="20"/>
          <w:color w:val="auto"/>
        </w:rPr>
        <w:t xml:space="preserve">408 restricted stock units with earnout vesting criteria that were forfeited due to milestone deadline not achieved. </w:t>
      </w:r>
      <w:r>
        <w:rPr>
          <w:rFonts w:ascii="Times New Roman" w:cs="Times New Roman" w:eastAsia="Times New Roman" w:hAnsi="Times New Roman"/>
          <w:sz w:val="20"/>
          <w:szCs w:val="20"/>
          <w:i w:val="1"/>
          <w:iCs w:val="1"/>
          <w:color w:val="auto"/>
        </w:rPr>
        <w:t>AEON Biopharma Inc. 2023 Incentive Award Plan</w:t>
      </w:r>
    </w:p>
    <w:p>
      <w:pPr>
        <w:spacing w:after="0" w:line="1"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20"/>
          <w:szCs w:val="20"/>
          <w:color w:val="auto"/>
        </w:rPr>
        <w:t>In connection with the Merger, the Company’s Board adopted, and its stockholders approved, the 2023 Plan, which became effective upon the consummation of the Merger, that provides for the granting of nonqualified stock options, restricted stock and stock appreciation rights to employees, members of the Board and non-employee consultants. On December 2, 2025, the Company’s Board adopted an amendment and restatement of the 2023 Incentive Award Plan (as amended and restated, the “2023 Plan”), and on January 21, 2026, our stockholders approved the 2023 Plan. The 2023 Plan will remain in effect until January 21, 2036, the</w:t>
      </w:r>
    </w:p>
    <w:p>
      <w:pPr>
        <w:ind w:right="340"/>
        <w:spacing w:after="0" w:line="248" w:lineRule="auto"/>
        <w:rPr>
          <w:sz w:val="20"/>
          <w:szCs w:val="20"/>
          <w:color w:val="auto"/>
        </w:rPr>
      </w:pPr>
      <w:r>
        <w:rPr>
          <w:rFonts w:ascii="Times New Roman" w:cs="Times New Roman" w:eastAsia="Times New Roman" w:hAnsi="Times New Roman"/>
          <w:sz w:val="20"/>
          <w:szCs w:val="20"/>
          <w:color w:val="auto"/>
        </w:rPr>
        <w:t>tenth anniversary of the date the Company’s stockholders approved the 2023 Plan, unless earlier terminated. Stock options granted generally expire ten</w:t>
      </w:r>
    </w:p>
    <w:p>
      <w:pPr>
        <w:sectPr>
          <w:pgSz w:w="11880" w:h="15480" w:orient="portrait"/>
          <w:cols w:equalWidth="0" w:num="1">
            <w:col w:w="10800"/>
          </w:cols>
          <w:pgMar w:left="540" w:top="135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1880" w:h="15480" w:orient="portrait"/>
          <w:cols w:equalWidth="0" w:num="1">
            <w:col w:w="10800"/>
          </w:cols>
          <w:pgMar w:left="540" w:top="1351" w:right="540" w:bottom="0" w:gutter="0" w:footer="0" w:header="0"/>
          <w:type w:val="continuous"/>
        </w:sectPr>
      </w:pPr>
    </w:p>
    <w:bookmarkStart w:id="118" w:name="page119"/>
    <w:bookmarkEnd w:id="118"/>
    <w:p>
      <w:pPr>
        <w:ind w:right="400"/>
        <w:spacing w:after="0" w:line="278" w:lineRule="auto"/>
        <w:rPr>
          <w:sz w:val="20"/>
          <w:szCs w:val="20"/>
          <w:color w:val="auto"/>
        </w:rPr>
      </w:pPr>
      <w:r>
        <w:rPr>
          <w:rFonts w:ascii="Times New Roman" w:cs="Times New Roman" w:eastAsia="Times New Roman" w:hAnsi="Times New Roman"/>
          <w:sz w:val="20"/>
          <w:szCs w:val="20"/>
          <w:color w:val="auto"/>
        </w:rPr>
        <w:t>years after their original date of grant and generally vest between three years to four years with equal installments vesting on each anniversary of the grant date, subject to continued service through the applicable vesting date.</w:t>
      </w:r>
    </w:p>
    <w:p>
      <w:pPr>
        <w:spacing w:after="0" w:line="168" w:lineRule="exact"/>
        <w:rPr>
          <w:sz w:val="20"/>
          <w:szCs w:val="20"/>
          <w:color w:val="auto"/>
        </w:rPr>
      </w:pPr>
    </w:p>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The aggregate number of shares of the Company’s common stock available for issuance under the 2023 Incentive Award Plan is equal to (a) 17,846,923 shares of common stock and (b) any shares which, as of the original effective date of the 2023 Incentive Award Plan, are subject to an award outstanding under the 2019 Incentive Award Plan (each, a “Prior Plan Award”), and which, on or following the original effective date of the 2023 Incentive Award Plan, become available for issuance under the 2023 Plan as provided in the 2023 Plan. In addition, the number of shares of common stock available for issuance under the 2023 Plan will be annually increased on January 1 of each calendar year beginning in 2027 and ending in 2033 by an amount equal to the lesser of (i) 5% of the number of fully-diluted number of shares outstanding on the final day of the immediately preceding calendar year or (ii) such other number of shares as is determined by the Board. Any shares issued pursuant to the 2023 Plan may consist, in whole or in part, of authorized and unissued common stock, treasury common stock or common stock purchased on the open market. As of December 31, 2025, there were 40,398 shares of common stock available for issuance under the 2023 Plan.</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stock options activity in 2025 under the 2023 Plan:</w:t>
      </w:r>
    </w:p>
    <w:p>
      <w:pPr>
        <w:spacing w:after="0" w:line="260"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84"/>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185"/>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Exercise</w:t>
            </w:r>
          </w:p>
        </w:tc>
      </w:tr>
      <w:tr>
        <w:trPr>
          <w:trHeight w:val="203"/>
        </w:trPr>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384"/>
        </w:trPr>
        <w:tc>
          <w:tcPr>
            <w:tcW w:w="6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Outstanding, January 1, 2025 . . . . . . . . . . . . . . . . . . . . . . . . . . . . . . . . . . . . . . . .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51,016</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242.14</w:t>
            </w:r>
          </w:p>
        </w:tc>
      </w:tr>
      <w:tr>
        <w:trPr>
          <w:trHeight w:val="230"/>
        </w:trPr>
        <w:tc>
          <w:tcPr>
            <w:tcW w:w="6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Options granted . . . . . . . . . . . . . . . . . . . . . . . . . . . . . . . . . . . . . . . . . . . . . . . . . . .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6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Options forfeited . . . . . . . . . . . . . . . . . . . . . . . . . . . . . . . . . . . . . . . . . . . . . . . . . .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6620" w:type="dxa"/>
            <w:vAlign w:val="bottom"/>
            <w:gridSpan w:val="2"/>
          </w:tcPr>
          <w:p>
            <w:pPr>
              <w:jc w:val="right"/>
              <w:ind w:right="34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.Outstanding,December31,2025</w:t>
            </w:r>
          </w:p>
        </w:tc>
        <w:tc>
          <w:tcPr>
            <w:tcW w:w="10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51,016</w:t>
            </w:r>
          </w:p>
        </w:tc>
        <w:tc>
          <w:tcPr>
            <w:tcW w:w="44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242.14</w:t>
            </w:r>
          </w:p>
        </w:tc>
      </w:tr>
      <w:tr>
        <w:trPr>
          <w:trHeight w:val="240"/>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Exercisable, December 31, 2025 . . . . . . . . . . . . . . . . . . . . . . . . . . . . . . . . . . . . . .</w:t>
            </w: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38,748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21" w:lineRule="exact"/>
        <w:rPr>
          <w:sz w:val="20"/>
          <w:szCs w:val="20"/>
          <w:color w:val="auto"/>
        </w:rPr>
      </w:pPr>
    </w:p>
    <w:p>
      <w:pPr>
        <w:jc w:val="both"/>
        <w:ind w:right="240" w:firstLine="360"/>
        <w:spacing w:after="0" w:line="259" w:lineRule="auto"/>
        <w:rPr>
          <w:sz w:val="20"/>
          <w:szCs w:val="20"/>
          <w:color w:val="auto"/>
        </w:rPr>
      </w:pPr>
      <w:r>
        <w:rPr>
          <w:rFonts w:ascii="Times New Roman" w:cs="Times New Roman" w:eastAsia="Times New Roman" w:hAnsi="Times New Roman"/>
          <w:sz w:val="20"/>
          <w:szCs w:val="20"/>
          <w:color w:val="auto"/>
        </w:rPr>
        <w:t>There were no options granted in 2025. The weighted average per share fair value of options granted in 2024 was $135.50. The weighted average remaining contractual life of options outstanding and options exercisable as of December 31, 2025 and 2024 was 8.5 years and 9.5 years, respectively.</w:t>
      </w:r>
    </w:p>
    <w:p>
      <w:pPr>
        <w:spacing w:after="0" w:line="186" w:lineRule="exact"/>
        <w:rPr>
          <w:sz w:val="20"/>
          <w:szCs w:val="20"/>
          <w:color w:val="auto"/>
        </w:rPr>
      </w:pPr>
    </w:p>
    <w:p>
      <w:pPr>
        <w:ind w:right="320" w:firstLine="360"/>
        <w:spacing w:after="0" w:line="278"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recognized $2.7 million and $1.6 million, respectively, of share-based compensation expense related to stock options granted.</w:t>
      </w:r>
    </w:p>
    <w:p>
      <w:pPr>
        <w:spacing w:after="0" w:line="167" w:lineRule="exact"/>
        <w:rPr>
          <w:sz w:val="20"/>
          <w:szCs w:val="20"/>
          <w:color w:val="auto"/>
        </w:rPr>
      </w:pPr>
    </w:p>
    <w:p>
      <w:pPr>
        <w:ind w:right="40" w:firstLine="360"/>
        <w:spacing w:after="0" w:line="278" w:lineRule="auto"/>
        <w:rPr>
          <w:sz w:val="20"/>
          <w:szCs w:val="20"/>
          <w:color w:val="auto"/>
        </w:rPr>
      </w:pPr>
      <w:r>
        <w:rPr>
          <w:rFonts w:ascii="Times New Roman" w:cs="Times New Roman" w:eastAsia="Times New Roman" w:hAnsi="Times New Roman"/>
          <w:sz w:val="20"/>
          <w:szCs w:val="20"/>
          <w:color w:val="auto"/>
        </w:rPr>
        <w:t>As of December 31, 2025 total unrecognized compensation expense related to nonvested stock options was $2.6 million, which is expected to be recognized over the weighted-average remaining requisite service period of 7 months.</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restricted stock units activity in 2025 under the 2023 Plan:</w:t>
      </w:r>
    </w:p>
    <w:p>
      <w:pPr>
        <w:spacing w:after="0" w:line="259"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85"/>
        </w:trPr>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184"/>
        </w:trPr>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03"/>
        </w:trPr>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84"/>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January 1, 2025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14,215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60.05</w:t>
            </w:r>
          </w:p>
        </w:tc>
      </w:t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 .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5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Outstanding, December 31, 2025 . . . . . . . . . . . . . . . . . . . . . . . . . . . . . . . . . . . . . .</w:t>
            </w: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14,215</w:t>
            </w:r>
          </w:p>
        </w:tc>
        <w:tc>
          <w:tcPr>
            <w:tcW w:w="400" w:type="dxa"/>
            <w:vAlign w:val="bottom"/>
            <w:gridSpan w:val="2"/>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60.05</w:t>
            </w:r>
          </w:p>
        </w:tc>
      </w:tr>
    </w:tbl>
    <w:p>
      <w:pPr>
        <w:spacing w:after="0" w:line="219"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recognized $0.4 and $0.1 million, respectively of share-based compensation expense related to restricted stock units granted.</w:t>
      </w:r>
    </w:p>
    <w:p>
      <w:pPr>
        <w:spacing w:after="0" w:line="168" w:lineRule="exact"/>
        <w:rPr>
          <w:sz w:val="20"/>
          <w:szCs w:val="20"/>
          <w:color w:val="auto"/>
        </w:rPr>
      </w:pPr>
    </w:p>
    <w:p>
      <w:pPr>
        <w:ind w:right="160" w:firstLine="360"/>
        <w:spacing w:after="0" w:line="278" w:lineRule="auto"/>
        <w:rPr>
          <w:sz w:val="20"/>
          <w:szCs w:val="20"/>
          <w:color w:val="auto"/>
        </w:rPr>
      </w:pPr>
      <w:r>
        <w:rPr>
          <w:rFonts w:ascii="Times New Roman" w:cs="Times New Roman" w:eastAsia="Times New Roman" w:hAnsi="Times New Roman"/>
          <w:sz w:val="20"/>
          <w:szCs w:val="20"/>
          <w:color w:val="auto"/>
        </w:rPr>
        <w:t>As of December 31, 2025, total unrecognized compensation expense related to nonvested restricted stock units was $0.3 million which is expected to be recognized over the weighted-average remaining requisite service period of 8 months.</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115</w:t>
      </w:r>
    </w:p>
    <w:p>
      <w:pPr>
        <w:sectPr>
          <w:pgSz w:w="11880" w:h="15480" w:orient="portrait"/>
          <w:cols w:equalWidth="0" w:num="1">
            <w:col w:w="10780"/>
          </w:cols>
          <w:pgMar w:left="540" w:top="1349" w:right="560" w:bottom="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i w:val="1"/>
          <w:iCs w:val="1"/>
          <w:color w:val="auto"/>
        </w:rPr>
        <w:t>AEON Biopharma Inc. 2025 Employment Inducement Incentive Award Plan</w:t>
      </w:r>
    </w:p>
    <w:p>
      <w:pPr>
        <w:spacing w:after="0" w:line="117"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20"/>
          <w:szCs w:val="20"/>
          <w:color w:val="auto"/>
        </w:rPr>
        <w:t>Effective April 19, 2025, the Board adopted the 2025 Employment Inducement Incentive Award Plan (the “Inducement Plan”) and, subject to the adjustment provisions of the Inducement Plan, reserved 1,000,000 shares of the Company’s Class A common stock for issuance pursuant to equity awards granted under the Inducement Plan. The Inducement Plan provides for the grant of equity-based awards, including non-statutory stock options, restricted stock units, restricted stock, stock appreciation rights, performance shares and performance stock units, and its terms are substantially similar to the 2023 Plan. In accordance with the Company Guide, awards under the Inducement Plan may only be made to individuals not previously employees or non-employee directors of the Company (or following such individuals’ bona fide period of non employment with the Company), as an inducement material to the individuals’ entry into employment with the Company or being rehired following a bona fide period of interruption of employment by the Company. The Inducement Plan was adopted without stockholder approval pursuant to the applicable provisions of the Company Guide. As of December 31, 2025, there were 268,825 shares of common stock available for issuance under the Inducement Plan.</w:t>
      </w:r>
    </w:p>
    <w:p>
      <w:pPr>
        <w:spacing w:after="0" w:line="202" w:lineRule="exact"/>
        <w:rPr>
          <w:sz w:val="20"/>
          <w:szCs w:val="20"/>
          <w:color w:val="auto"/>
        </w:rPr>
      </w:pPr>
    </w:p>
    <w:p>
      <w:pPr>
        <w:ind w:right="80" w:firstLine="360"/>
        <w:spacing w:after="0" w:line="247" w:lineRule="auto"/>
        <w:rPr>
          <w:sz w:val="20"/>
          <w:szCs w:val="20"/>
          <w:color w:val="auto"/>
        </w:rPr>
      </w:pPr>
      <w:r>
        <w:rPr>
          <w:rFonts w:ascii="Times New Roman" w:cs="Times New Roman" w:eastAsia="Times New Roman" w:hAnsi="Times New Roman"/>
          <w:sz w:val="20"/>
          <w:szCs w:val="20"/>
          <w:color w:val="auto"/>
        </w:rPr>
        <w:t>For the year ended December 31, 2025 there were 59,034 stock options issued, with weighted average exercise price of $0.41 per share. The weighted average fair value of options granted as of December 31, 2025 was $ 0.37 per share. The weighted average remaining contractual life of options outstanding and options exercisable as of December 31, 2025 was 9.3 years. During the year ended December 31, 2025, the Company recognized de minimus amounts of share-based compensation expense related to stock options granted. As of December 31, 2025, total unrecognized compensation expense related to nonvested stock options was $18 thousand, which is expected to be recognized over the weighted average remaining requisite service period of 40 months.</w:t>
      </w:r>
    </w:p>
    <w:p>
      <w:pPr>
        <w:spacing w:after="0" w:line="200" w:lineRule="exact"/>
        <w:rPr>
          <w:sz w:val="20"/>
          <w:szCs w:val="20"/>
          <w:color w:val="auto"/>
        </w:rPr>
      </w:pPr>
    </w:p>
    <w:p>
      <w:pPr>
        <w:jc w:val="both"/>
        <w:ind w:right="160" w:firstLine="361"/>
        <w:spacing w:after="0" w:line="249" w:lineRule="auto"/>
        <w:rPr>
          <w:sz w:val="20"/>
          <w:szCs w:val="20"/>
          <w:color w:val="auto"/>
        </w:rPr>
      </w:pPr>
      <w:r>
        <w:rPr>
          <w:rFonts w:ascii="Times New Roman" w:cs="Times New Roman" w:eastAsia="Times New Roman" w:hAnsi="Times New Roman"/>
          <w:sz w:val="20"/>
          <w:szCs w:val="20"/>
          <w:color w:val="auto"/>
        </w:rPr>
        <w:t>For the year ended December 31, 2025, there were 672,141 restricted stock units issued, with weighted averaged grant date fair value of $0.65 per share. During the year ended December 31, 2025, the Company recognized de minimus amounts of share-based compensation expense related to restricted stock units granted. As of December 31, 2025, total unrecognized compensation expense related to nonvested restricted stock units was $0.4 million, which is expected to be recognized over the weighted-average remaining requisite service period of 44 months.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 Expense and Valuation Information</w:t>
      </w:r>
    </w:p>
    <w:p>
      <w:pPr>
        <w:spacing w:after="0" w:line="239" w:lineRule="exact"/>
        <w:rPr>
          <w:sz w:val="20"/>
          <w:szCs w:val="20"/>
          <w:color w:val="auto"/>
        </w:rPr>
      </w:pPr>
    </w:p>
    <w:p>
      <w:pPr>
        <w:ind w:right="100" w:firstLine="360"/>
        <w:spacing w:after="0" w:line="259" w:lineRule="auto"/>
        <w:rPr>
          <w:sz w:val="20"/>
          <w:szCs w:val="20"/>
          <w:color w:val="auto"/>
        </w:rPr>
      </w:pPr>
      <w:r>
        <w:rPr>
          <w:rFonts w:ascii="Times New Roman" w:cs="Times New Roman" w:eastAsia="Times New Roman" w:hAnsi="Times New Roman"/>
          <w:sz w:val="20"/>
          <w:szCs w:val="20"/>
          <w:color w:val="auto"/>
        </w:rPr>
        <w:t>The Company accounts for the measurement and recognition of compensation expense for all share-based awards based on the estimated fair value of the awards. The fair value of share-based awards is amortized on a straight-line basis over the requisite service period. The Company records share-based compensation expense net of actual forfeitures.</w:t>
      </w:r>
    </w:p>
    <w:p>
      <w:pPr>
        <w:spacing w:after="0" w:line="186" w:lineRule="exact"/>
        <w:rPr>
          <w:sz w:val="20"/>
          <w:szCs w:val="20"/>
          <w:color w:val="auto"/>
        </w:rPr>
      </w:pPr>
    </w:p>
    <w:p>
      <w:pPr>
        <w:ind w:right="120" w:firstLine="360"/>
        <w:spacing w:after="0" w:line="259"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recognized $5.3 million and $4.7 million, respectively, of share-based compensation expense in selling, general and administrative expenses, and $1.6 million and $1.5 million, respectively, in research and development expenses in the accompanying consolidated statements of operations and comprehensive (loss) income.</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fair value of stock options under the 2019 Plan and 2023 Plan was estimated using the following assumptions:</w:t>
      </w:r>
    </w:p>
    <w:p>
      <w:pPr>
        <w:spacing w:after="0" w:line="258"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60" w:type="dxa"/>
            <w:vAlign w:val="bottom"/>
          </w:tcPr>
          <w:p>
            <w:pPr>
              <w:spacing w:after="0"/>
              <w:rPr>
                <w:sz w:val="16"/>
                <w:szCs w:val="16"/>
                <w:color w:val="auto"/>
              </w:rPr>
            </w:pPr>
          </w:p>
        </w:tc>
      </w:tr>
      <w:tr>
        <w:trPr>
          <w:trHeight w:val="203"/>
        </w:trPr>
        <w:tc>
          <w:tcPr>
            <w:tcW w:w="6540" w:type="dxa"/>
            <w:vAlign w:val="bottom"/>
          </w:tcPr>
          <w:p>
            <w:pPr>
              <w:spacing w:after="0"/>
              <w:rPr>
                <w:sz w:val="17"/>
                <w:szCs w:val="17"/>
                <w:color w:val="auto"/>
              </w:rPr>
            </w:pPr>
          </w:p>
        </w:tc>
        <w:tc>
          <w:tcPr>
            <w:tcW w:w="19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tcBorders>
              <w:bottom w:val="single" w:sz="8" w:color="auto"/>
            </w:tcBorders>
          </w:tcPr>
          <w:p>
            <w:pPr>
              <w:spacing w:after="0"/>
              <w:rPr>
                <w:sz w:val="17"/>
                <w:szCs w:val="17"/>
                <w:color w:val="auto"/>
              </w:rPr>
            </w:pPr>
          </w:p>
        </w:tc>
      </w:tr>
      <w:tr>
        <w:trPr>
          <w:trHeight w:val="174"/>
        </w:trPr>
        <w:tc>
          <w:tcPr>
            <w:tcW w:w="6540" w:type="dxa"/>
            <w:vAlign w:val="bottom"/>
          </w:tcPr>
          <w:p>
            <w:pPr>
              <w:spacing w:after="0"/>
              <w:rPr>
                <w:sz w:val="15"/>
                <w:szCs w:val="15"/>
                <w:color w:val="auto"/>
              </w:rPr>
            </w:pPr>
          </w:p>
        </w:tc>
        <w:tc>
          <w:tcPr>
            <w:tcW w:w="880" w:type="dxa"/>
            <w:vAlign w:val="bottom"/>
            <w:tcBorders>
              <w:bottom w:val="single" w:sz="8" w:color="auto"/>
            </w:tcBorders>
          </w:tcPr>
          <w:p>
            <w:pPr>
              <w:jc w:val="center"/>
              <w:ind w:left="307"/>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2"/>
          </w:tcPr>
          <w:p>
            <w:pPr>
              <w:jc w:val="right"/>
              <w:ind w:right="32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8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 . . . . . . . . . . . . . . . . . . . . . . . . . . . . . . . . . . . . . . . . . . . . . . . . .</w:t>
            </w:r>
          </w:p>
        </w:tc>
        <w:tc>
          <w:tcPr>
            <w:tcW w:w="880" w:type="dxa"/>
            <w:vAlign w:val="bottom"/>
          </w:tcPr>
          <w:p>
            <w:pPr>
              <w:jc w:val="center"/>
              <w:ind w:left="307"/>
              <w:spacing w:after="0"/>
              <w:rPr>
                <w:sz w:val="20"/>
                <w:szCs w:val="20"/>
                <w:color w:val="auto"/>
              </w:rPr>
            </w:pPr>
            <w:r>
              <w:rPr>
                <w:rFonts w:ascii="Times New Roman" w:cs="Times New Roman" w:eastAsia="Times New Roman" w:hAnsi="Times New Roman"/>
                <w:sz w:val="20"/>
                <w:szCs w:val="20"/>
                <w:color w:val="auto"/>
              </w:rPr>
              <w:t>123%</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87%</w:t>
            </w: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 . . . . . . . . . . . . . . . . . . . . . . . . . . . . . . . . . . . . . . . . . . . . . . .</w:t>
            </w:r>
          </w:p>
        </w:tc>
        <w:tc>
          <w:tcPr>
            <w:tcW w:w="880" w:type="dxa"/>
            <w:vAlign w:val="bottom"/>
          </w:tcPr>
          <w:p>
            <w:pPr>
              <w:jc w:val="center"/>
              <w:ind w:left="307"/>
              <w:spacing w:after="0"/>
              <w:rPr>
                <w:sz w:val="20"/>
                <w:szCs w:val="20"/>
                <w:color w:val="auto"/>
              </w:rPr>
            </w:pPr>
            <w:r>
              <w:rPr>
                <w:rFonts w:ascii="Times New Roman" w:cs="Times New Roman" w:eastAsia="Times New Roman" w:hAnsi="Times New Roman"/>
                <w:sz w:val="20"/>
                <w:szCs w:val="20"/>
                <w:color w:val="auto"/>
                <w:w w:val="95"/>
              </w:rPr>
              <w:t>3.9%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4.3%</w:t>
            </w: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Expected life (in years) . . . . . . . . . . . . . . . . . . . . . . . . . . . . . . . . . . . . . . . . . . . . .</w:t>
            </w:r>
          </w:p>
        </w:tc>
        <w:tc>
          <w:tcPr>
            <w:tcW w:w="880" w:type="dxa"/>
            <w:vAlign w:val="bottom"/>
          </w:tcPr>
          <w:p>
            <w:pPr>
              <w:jc w:val="center"/>
              <w:ind w:left="307"/>
              <w:spacing w:after="0"/>
              <w:rPr>
                <w:sz w:val="20"/>
                <w:szCs w:val="20"/>
                <w:color w:val="auto"/>
              </w:rPr>
            </w:pPr>
            <w:r>
              <w:rPr>
                <w:rFonts w:ascii="Times New Roman" w:cs="Times New Roman" w:eastAsia="Times New Roman" w:hAnsi="Times New Roman"/>
                <w:sz w:val="20"/>
                <w:szCs w:val="20"/>
                <w:color w:val="auto"/>
              </w:rPr>
              <w:t>6.25</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5.27</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6.25</w:t>
            </w:r>
          </w:p>
        </w:tc>
      </w:tr>
      <w:tr>
        <w:trPr>
          <w:trHeight w:val="26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 . . . . . . . . . . . . . . . . . . . . . . . . . . . . . . . . . . . . . . . . . . . .</w:t>
            </w:r>
          </w:p>
        </w:tc>
        <w:tc>
          <w:tcPr>
            <w:tcW w:w="8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04" w:lineRule="exact"/>
        <w:rPr>
          <w:sz w:val="20"/>
          <w:szCs w:val="20"/>
          <w:color w:val="auto"/>
        </w:rPr>
      </w:pPr>
    </w:p>
    <w:p>
      <w:pPr>
        <w:ind w:right="260"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Fair Value of the Underlying common stock. </w:t>
      </w:r>
      <w:r>
        <w:rPr>
          <w:rFonts w:ascii="Times New Roman" w:cs="Times New Roman" w:eastAsia="Times New Roman" w:hAnsi="Times New Roman"/>
          <w:sz w:val="20"/>
          <w:szCs w:val="20"/>
          <w:color w:val="auto"/>
        </w:rPr>
        <w:t>The fair value of the stock price is the closing price for the Company’s common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as reported on the NYSE American.</w:t>
      </w:r>
    </w:p>
    <w:p>
      <w:pPr>
        <w:spacing w:after="0" w:line="167" w:lineRule="exact"/>
        <w:rPr>
          <w:sz w:val="20"/>
          <w:szCs w:val="20"/>
          <w:color w:val="auto"/>
        </w:rPr>
      </w:pPr>
    </w:p>
    <w:p>
      <w:pPr>
        <w:ind w:right="280"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Expected Life</w:t>
      </w:r>
      <w:r>
        <w:rPr>
          <w:rFonts w:ascii="Times New Roman" w:cs="Times New Roman" w:eastAsia="Times New Roman" w:hAnsi="Times New Roman"/>
          <w:sz w:val="20"/>
          <w:szCs w:val="20"/>
          <w:color w:val="auto"/>
        </w:rPr>
        <w:t>. The expected life is calculated using the simplified method as the Company does not have sufficient historical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to provide a basis for the estimate. The simplified method is based on the average of the vesting tranches and the contractual life of each grant.</w:t>
      </w:r>
    </w:p>
    <w:p>
      <w:pPr>
        <w:spacing w:after="0" w:line="186" w:lineRule="exact"/>
        <w:rPr>
          <w:sz w:val="20"/>
          <w:szCs w:val="20"/>
          <w:color w:val="auto"/>
        </w:rPr>
      </w:pPr>
    </w:p>
    <w:p>
      <w:pPr>
        <w:ind w:right="60"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Expected Volatility</w:t>
      </w:r>
      <w:r>
        <w:rPr>
          <w:rFonts w:ascii="Times New Roman" w:cs="Times New Roman" w:eastAsia="Times New Roman" w:hAnsi="Times New Roman"/>
          <w:sz w:val="20"/>
          <w:szCs w:val="20"/>
          <w:color w:val="auto"/>
        </w:rPr>
        <w:t>. The expected volatility is estimated based on a study of selected publicly traded peer companies 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does not have sufficient trading history for its common stock. The Company selected the peer group based on similarities in</w:t>
      </w:r>
    </w:p>
    <w:p>
      <w:pPr>
        <w:sectPr>
          <w:pgSz w:w="11880" w:h="15480" w:orient="portrait"/>
          <w:cols w:equalWidth="0" w:num="1">
            <w:col w:w="10800"/>
          </w:cols>
          <w:pgMar w:left="540" w:top="1353" w:right="54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1880" w:h="15480" w:orient="portrait"/>
          <w:cols w:equalWidth="0" w:num="1">
            <w:col w:w="10800"/>
          </w:cols>
          <w:pgMar w:left="540" w:top="1353" w:right="540" w:bottom="0" w:gutter="0" w:footer="0" w:header="0"/>
          <w:type w:val="continuous"/>
        </w:sectPr>
      </w:pPr>
    </w:p>
    <w:bookmarkStart w:id="120" w:name="page121"/>
    <w:bookmarkEnd w:id="120"/>
    <w:p>
      <w:pPr>
        <w:ind w:right="440"/>
        <w:spacing w:after="0" w:line="278" w:lineRule="auto"/>
        <w:rPr>
          <w:sz w:val="20"/>
          <w:szCs w:val="20"/>
          <w:color w:val="auto"/>
        </w:rPr>
      </w:pPr>
      <w:r>
        <w:rPr>
          <w:rFonts w:ascii="Times New Roman" w:cs="Times New Roman" w:eastAsia="Times New Roman" w:hAnsi="Times New Roman"/>
          <w:sz w:val="20"/>
          <w:szCs w:val="20"/>
          <w:color w:val="auto"/>
        </w:rPr>
        <w:t>industry, stage of development, size and financial leverage with the Company’s principal business operations. For each grant, the Company measured historical volatility over a period equivalent to the expected life.</w:t>
      </w:r>
    </w:p>
    <w:p>
      <w:pPr>
        <w:spacing w:after="0" w:line="168" w:lineRule="exact"/>
        <w:rPr>
          <w:sz w:val="20"/>
          <w:szCs w:val="20"/>
          <w:color w:val="auto"/>
        </w:rPr>
      </w:pPr>
    </w:p>
    <w:p>
      <w:pPr>
        <w:ind w:right="340"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Risk-free Interest Rate</w:t>
      </w:r>
      <w:r>
        <w:rPr>
          <w:rFonts w:ascii="Times New Roman" w:cs="Times New Roman" w:eastAsia="Times New Roman" w:hAnsi="Times New Roman"/>
          <w:sz w:val="20"/>
          <w:szCs w:val="20"/>
          <w:color w:val="auto"/>
        </w:rPr>
        <w:t>. The risk-free interest rate is based on the yield available on U.S. Treasury zero-coupon issues whose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 is similar in duration to the expected life of the respective stock option.</w:t>
      </w:r>
    </w:p>
    <w:p>
      <w:pPr>
        <w:spacing w:after="0" w:line="167" w:lineRule="exact"/>
        <w:rPr>
          <w:sz w:val="20"/>
          <w:szCs w:val="20"/>
          <w:color w:val="auto"/>
        </w:rPr>
      </w:pPr>
    </w:p>
    <w:p>
      <w:pPr>
        <w:ind w:right="180"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Expected Dividend Yield</w:t>
      </w:r>
      <w:r>
        <w:rPr>
          <w:rFonts w:ascii="Times New Roman" w:cs="Times New Roman" w:eastAsia="Times New Roman" w:hAnsi="Times New Roman"/>
          <w:sz w:val="20"/>
          <w:szCs w:val="20"/>
          <w:color w:val="auto"/>
        </w:rPr>
        <w:t>. The Company has not paid and does not anticipate paying any dividends on its common stock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foreseeable future. Accordingly, the Company has estimated the dividend yield to be zero.</w:t>
      </w:r>
    </w:p>
    <w:p>
      <w:pPr>
        <w:spacing w:after="0" w:line="1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Note 11.</w:t>
        <w:tab/>
        <w:t>Subsequent Events</w:t>
      </w:r>
    </w:p>
    <w:p>
      <w:pPr>
        <w:spacing w:after="0" w:line="243" w:lineRule="exact"/>
        <w:rPr>
          <w:sz w:val="20"/>
          <w:szCs w:val="20"/>
          <w:color w:val="auto"/>
        </w:rPr>
      </w:pPr>
    </w:p>
    <w:p>
      <w:pPr>
        <w:ind w:right="140" w:firstLine="360"/>
        <w:spacing w:after="0" w:line="259" w:lineRule="auto"/>
        <w:rPr>
          <w:sz w:val="20"/>
          <w:szCs w:val="20"/>
          <w:color w:val="auto"/>
        </w:rPr>
      </w:pPr>
      <w:r>
        <w:rPr>
          <w:rFonts w:ascii="Times New Roman" w:cs="Times New Roman" w:eastAsia="Times New Roman" w:hAnsi="Times New Roman"/>
          <w:sz w:val="20"/>
          <w:szCs w:val="20"/>
          <w:color w:val="auto"/>
        </w:rPr>
        <w:t>The Company has evaluated subsequent events for recognition and remeasurement purposes as of and for the year ended December 31, 2025. After review and evaluation, management has concluded that there were no material subsequent events as of the date that the financial statements were available to be issued, except as discussed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Special Meeting of Shareholders</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On January 21, 2026, the following proposals were approved at a special meeting of shareholders:</w:t>
      </w:r>
    </w:p>
    <w:p>
      <w:pPr>
        <w:spacing w:after="0" w:line="254" w:lineRule="exact"/>
        <w:rPr>
          <w:sz w:val="20"/>
          <w:szCs w:val="20"/>
          <w:color w:val="auto"/>
        </w:rPr>
      </w:pPr>
    </w:p>
    <w:p>
      <w:pPr>
        <w:ind w:left="720" w:right="100" w:hanging="360"/>
        <w:spacing w:after="0" w:line="251" w:lineRule="auto"/>
        <w:tabs>
          <w:tab w:leader="none" w:pos="72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the shares to be issued in connection with the Second Closing of the PIPE Financing, specifically the (i) issuance and sale of 4,616,924 shares of common stock, or pre-funded warrants to purchase common stock in lieu of the shares, (ii) warrants to purchase an aggregate of 6,581,829 shares of common stock and (iii) shares issuable upon exercise of True-Up Warrants.</w:t>
      </w:r>
    </w:p>
    <w:p>
      <w:pPr>
        <w:spacing w:after="0" w:line="167" w:lineRule="exact"/>
        <w:rPr>
          <w:rFonts w:ascii="Symbol" w:cs="Symbol" w:eastAsia="Symbol" w:hAnsi="Symbol"/>
          <w:sz w:val="20"/>
          <w:szCs w:val="20"/>
          <w:color w:val="auto"/>
        </w:rPr>
      </w:pPr>
    </w:p>
    <w:p>
      <w:pPr>
        <w:ind w:left="720" w:right="100" w:hanging="360"/>
        <w:spacing w:after="0" w:line="247" w:lineRule="auto"/>
        <w:tabs>
          <w:tab w:leader="none" w:pos="72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Exchange of the outstanding senior secured convertible notes of the Company held by Daewoong pursuant to an exchange agreement, dated December 15, 2025, by and between the Company and Daewoong for (i) Exchange Shares, (ii) a new senior secured convertible note in a principal amount of $1.5 million and (iii) a warrant to purchase 8 million shares of common stock.</w:t>
      </w:r>
    </w:p>
    <w:p>
      <w:pPr>
        <w:spacing w:after="0" w:line="172" w:lineRule="exact"/>
        <w:rPr>
          <w:rFonts w:ascii="Symbol" w:cs="Symbol" w:eastAsia="Symbol" w:hAnsi="Symbol"/>
          <w:sz w:val="20"/>
          <w:szCs w:val="20"/>
          <w:color w:val="auto"/>
        </w:rPr>
      </w:pPr>
    </w:p>
    <w:p>
      <w:pPr>
        <w:ind w:left="720" w:hanging="360"/>
        <w:spacing w:after="0"/>
        <w:tabs>
          <w:tab w:leader="none" w:pos="72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the amendment of the 2023 Plan to increase the number of shares of common stock authorized for issuance thereunder.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Exchange Agreement</w:t>
      </w:r>
    </w:p>
    <w:p>
      <w:pPr>
        <w:spacing w:after="0" w:line="237" w:lineRule="exact"/>
        <w:rPr>
          <w:sz w:val="20"/>
          <w:szCs w:val="20"/>
          <w:color w:val="auto"/>
        </w:rPr>
      </w:pPr>
    </w:p>
    <w:p>
      <w:pPr>
        <w:ind w:right="120" w:firstLine="360"/>
        <w:spacing w:after="0" w:line="254" w:lineRule="auto"/>
        <w:rPr>
          <w:sz w:val="20"/>
          <w:szCs w:val="20"/>
          <w:color w:val="auto"/>
        </w:rPr>
      </w:pPr>
      <w:r>
        <w:rPr>
          <w:rFonts w:ascii="Times New Roman" w:cs="Times New Roman" w:eastAsia="Times New Roman" w:hAnsi="Times New Roman"/>
          <w:sz w:val="20"/>
          <w:szCs w:val="20"/>
          <w:color w:val="auto"/>
        </w:rPr>
        <w:t>Following the approval of the Exchange in the special shareholder meeting on January 21, 2026, and pursuant to the terms of the Exchange Agreement, for the full satisfaction of all obligations under the Existing Notes, the Company issued to Daewoong</w:t>
      </w:r>
    </w:p>
    <w:p>
      <w:pPr>
        <w:spacing w:after="0" w:line="1" w:lineRule="exact"/>
        <w:rPr>
          <w:sz w:val="20"/>
          <w:szCs w:val="20"/>
          <w:color w:val="auto"/>
        </w:rPr>
      </w:pPr>
    </w:p>
    <w:p>
      <w:pPr>
        <w:spacing w:after="0" w:line="242" w:lineRule="auto"/>
        <w:tabs>
          <w:tab w:leader="none" w:pos="23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11,918,380 newly issued shares of common stock and 11,236,631 pre-funded warrants to purchase shares of common stock (the “Exchange Shares”), (ii) a new senior secured convertible note in a principal amount of $1.5 million (the “New Convertible Note”), and (iii) warrants to purchase up to 8 million shares of common stock at an exercise price of $1.09392 per share. The New Convertible Note contains customary events of default, accrue interest at an annual rate of 15.79% payable in cash at maturity and will have a maturity date of April 12, 2030, unless earlier converted or redeemed in accordance with its terms prior to such date. The Company may not prepay the New Convertible Note or accrued interest prior to the New Maturity Date.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Amendment to License Agreement</w:t>
      </w:r>
    </w:p>
    <w:p>
      <w:pPr>
        <w:spacing w:after="0" w:line="158" w:lineRule="exact"/>
        <w:rPr>
          <w:sz w:val="20"/>
          <w:szCs w:val="20"/>
          <w:color w:val="auto"/>
        </w:rPr>
      </w:pPr>
    </w:p>
    <w:p>
      <w:pPr>
        <w:ind w:right="260" w:firstLine="360"/>
        <w:spacing w:after="0" w:line="247" w:lineRule="auto"/>
        <w:rPr>
          <w:sz w:val="20"/>
          <w:szCs w:val="20"/>
          <w:color w:val="auto"/>
        </w:rPr>
      </w:pPr>
      <w:r>
        <w:rPr>
          <w:rFonts w:ascii="Times New Roman" w:cs="Times New Roman" w:eastAsia="Times New Roman" w:hAnsi="Times New Roman"/>
          <w:sz w:val="20"/>
          <w:szCs w:val="20"/>
          <w:color w:val="auto"/>
        </w:rPr>
        <w:t>In connection with the Exchange, on January 21, 2026, the Company entered into the License Agreement Amendment with Daewoong, which amends the License and Supply Agreement, by and between the Company and Daewoong, dated December 20, 2019, as amended on July 29, 2022, January 8, 2023, April 24, 2023 and March 19, 2024. Pursuant to the terms of the License Agreement Amendment, the definition of “Notes” reflects the Exchange and the Termination Purchase Right (as defined in the License Agreement Amendment) will terminate and expire upon Daewoong’s sale of 50% of its common stock, including common stock held by its affiliates and common stock that would be issued upon conversion of the New Convertible Note.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Second Closing of the PIPE Financing</w:t>
      </w:r>
    </w:p>
    <w:p>
      <w:pPr>
        <w:spacing w:after="0" w:line="158" w:lineRule="exact"/>
        <w:rPr>
          <w:sz w:val="20"/>
          <w:szCs w:val="20"/>
          <w:color w:val="auto"/>
        </w:rPr>
      </w:pPr>
    </w:p>
    <w:p>
      <w:pPr>
        <w:jc w:val="both"/>
        <w:ind w:right="340" w:firstLine="360"/>
        <w:spacing w:after="0" w:line="258" w:lineRule="auto"/>
        <w:rPr>
          <w:sz w:val="20"/>
          <w:szCs w:val="20"/>
          <w:color w:val="auto"/>
        </w:rPr>
      </w:pPr>
      <w:r>
        <w:rPr>
          <w:rFonts w:ascii="Times New Roman" w:cs="Times New Roman" w:eastAsia="Times New Roman" w:hAnsi="Times New Roman"/>
          <w:sz w:val="20"/>
          <w:szCs w:val="20"/>
          <w:color w:val="auto"/>
        </w:rPr>
        <w:t>Following the approval of the shares to be issued in the Second Closing and completion of the Exchange in January 2026, the Company received gross proceeds of $4.2 million and issued 4,616,924 PIPE Pre-Funded Warrants, 6,581,829 PIPE Warrants and 6,581,829 True-Up Warrants to the investors of the PIPE Financing.</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117</w:t>
      </w:r>
    </w:p>
    <w:p>
      <w:pPr>
        <w:sectPr>
          <w:pgSz w:w="11880" w:h="15480" w:orient="portrait"/>
          <w:cols w:equalWidth="0" w:num="1">
            <w:col w:w="10780"/>
          </w:cols>
          <w:pgMar w:left="540" w:top="1349" w:right="560" w:bottom="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i w:val="1"/>
          <w:iCs w:val="1"/>
          <w:color w:val="auto"/>
        </w:rPr>
        <w:t>ATM Offering of Common Stock</w:t>
      </w:r>
    </w:p>
    <w:p>
      <w:pPr>
        <w:spacing w:after="0" w:line="157" w:lineRule="exact"/>
        <w:rPr>
          <w:sz w:val="20"/>
          <w:szCs w:val="20"/>
          <w:color w:val="auto"/>
        </w:rPr>
      </w:pPr>
    </w:p>
    <w:p>
      <w:pPr>
        <w:ind w:right="160" w:firstLine="360"/>
        <w:spacing w:after="0" w:line="278" w:lineRule="auto"/>
        <w:rPr>
          <w:sz w:val="20"/>
          <w:szCs w:val="20"/>
          <w:color w:val="auto"/>
        </w:rPr>
      </w:pPr>
      <w:r>
        <w:rPr>
          <w:rFonts w:ascii="Times New Roman" w:cs="Times New Roman" w:eastAsia="Times New Roman" w:hAnsi="Times New Roman"/>
          <w:sz w:val="20"/>
          <w:szCs w:val="20"/>
          <w:color w:val="auto"/>
        </w:rPr>
        <w:t>From January 1, 2026 through March 27, 2026, the Company issued 1,278,776 shares under the ATM for net proceeds of $1.7 million, approximately $47.9 million of common stock remained available to be sold under the ATM.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Cash-Settled Restricted Stock Unit</w:t>
      </w:r>
    </w:p>
    <w:p>
      <w:pPr>
        <w:spacing w:after="0" w:line="23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In March 2026, the Company’s board of directors approved the modification of all cash-settled restricted stock units awards that were issued in May 2025 to be converted into stock-settled restricted stock units. The Company will assess the modification in accordance with ASC 718 Stock-based Compensation for the first quarter of 2026, the period in which the awards were modified.</w:t>
      </w:r>
    </w:p>
    <w:p>
      <w:pPr>
        <w:sectPr>
          <w:pgSz w:w="11880" w:h="15480" w:orient="portrait"/>
          <w:cols w:equalWidth="0" w:num="1">
            <w:col w:w="10640"/>
          </w:cols>
          <w:pgMar w:left="540" w:top="1353"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118</w:t>
      </w:r>
    </w:p>
    <w:p>
      <w:pPr>
        <w:sectPr>
          <w:pgSz w:w="11880" w:h="15480" w:orient="portrait"/>
          <w:cols w:equalWidth="0" w:num="1">
            <w:col w:w="10640"/>
          </w:cols>
          <w:pgMar w:left="540" w:top="1353" w:right="700" w:bottom="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3" w:lineRule="exact"/>
        <w:rPr>
          <w:sz w:val="20"/>
          <w:szCs w:val="20"/>
          <w:color w:val="auto"/>
        </w:rPr>
      </w:pPr>
    </w:p>
    <w:p>
      <w:pPr>
        <w:ind w:right="120" w:firstLine="360"/>
        <w:spacing w:after="0" w:line="254" w:lineRule="auto"/>
        <w:rPr>
          <w:sz w:val="20"/>
          <w:szCs w:val="20"/>
          <w:color w:val="auto"/>
        </w:rPr>
      </w:pPr>
      <w:r>
        <w:rPr>
          <w:rFonts w:ascii="Times New Roman" w:cs="Times New Roman" w:eastAsia="Times New Roman" w:hAnsi="Times New Roman"/>
          <w:sz w:val="20"/>
          <w:szCs w:val="20"/>
          <w:color w:val="auto"/>
        </w:rPr>
        <w:t>Disclosure controls and procedures are our controls and other procedures that are designed to ensure that information required to be disclosed in the reports that we file or submit under the Securities Exchange Act of 1934 (as defined in Rules 13a-15(e) and</w:t>
      </w:r>
    </w:p>
    <w:p>
      <w:pPr>
        <w:spacing w:after="0" w:line="1"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color w:val="auto"/>
        </w:rPr>
        <w:t>15d-15(e)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Chief Executive Officer and Chief Financial Officer, or persons performing similar functions, as appropriate to allow timely decisions regarding required disclosure.</w:t>
      </w:r>
    </w:p>
    <w:p>
      <w:pPr>
        <w:spacing w:after="0" w:line="202" w:lineRule="exact"/>
        <w:rPr>
          <w:sz w:val="20"/>
          <w:szCs w:val="20"/>
          <w:color w:val="auto"/>
        </w:rPr>
      </w:pPr>
    </w:p>
    <w:p>
      <w:pPr>
        <w:ind w:right="80" w:firstLine="360"/>
        <w:spacing w:after="0" w:line="247" w:lineRule="auto"/>
        <w:rPr>
          <w:sz w:val="20"/>
          <w:szCs w:val="20"/>
          <w:color w:val="auto"/>
        </w:rPr>
      </w:pPr>
      <w:r>
        <w:rPr>
          <w:rFonts w:ascii="Times New Roman" w:cs="Times New Roman" w:eastAsia="Times New Roman" w:hAnsi="Times New Roman"/>
          <w:sz w:val="20"/>
          <w:szCs w:val="20"/>
          <w:color w:val="auto"/>
        </w:rPr>
        <w:t>In designing and evaluating the disclosure controls and procedures, management recognizes that any controls and procedures, no matter how well 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spacing w:after="0" w:line="200"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Our Chief Executive Officer and Chief Accounting Officer (“certifying officers”), in their role as Principal Executive and Financial Officer, have conducted an evaluation of the effectiveness of the design and operation of our disclosure controls and procedures (as defined in Rules 13a 15(e) and 15d-15(e) under the Securities Exchange Act of 1934, as amended (the Exchange Act)) as of December 31, 2025. Our certifying officers concluded that our disclosure controls and procedures were effective as of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Financing Reporting</w:t>
      </w:r>
    </w:p>
    <w:p>
      <w:pPr>
        <w:spacing w:after="0" w:line="243" w:lineRule="exact"/>
        <w:rPr>
          <w:sz w:val="20"/>
          <w:szCs w:val="20"/>
          <w:color w:val="auto"/>
        </w:rPr>
      </w:pPr>
    </w:p>
    <w:p>
      <w:pPr>
        <w:ind w:firstLine="361"/>
        <w:spacing w:after="0" w:line="247"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Rule 13a-15(f) under the Exchange Act. Under the supervision and with the participation of senior management, including our Chief Executive Officer and Principal Financial Officer, we evaluated the effectiveness of our internal control over financial reporting based on the framework in Internal Control-Integrated Framework issued by the Committee of Sponsoring Organizations of the Treadway Commission (2013 framework). Based on the evaluation under that framework and applicable SEC rules, our management concluded that our internal control over financial reporting was effective as of December 31,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Remediation of Material Weaknesses in Internal Control over Financial Reporting</w:t>
      </w:r>
    </w:p>
    <w:p>
      <w:pPr>
        <w:spacing w:after="0" w:line="243"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In prior years, our certifying officer concluded that the Company did not have an effective risk assessment over complex transactions due to the lack of sufficient and qualified resources, which led to a deficiency in the design and implementation of controls over in-process research and development and valuation of financial instruments. In addition, the lack of sufficient resources resulted in a material weakness related to the lack of segregation of duties in the financial reporting process. In order to remediate such material weaknesses, we enhanced our processes by designing and implementing controls to review the results of valuations and estimates, including the completeness and accuracy of relevant data elements included in the valuation or estimate. Additionally, we enhanced processes and/or engaged qualified resources to identify and appropriately apply applicable accounting requirements to better evaluate and understand the nuances of the complex accounting standards that apply to our consolidated financial statements, providing enhanced access to accounting literature, research materials and documents, and increased communication among our personnel and third-party professionals with whom we consult regarding complex accounting applications.</w:t>
      </w:r>
    </w:p>
    <w:p>
      <w:pPr>
        <w:spacing w:after="0" w:line="203" w:lineRule="exact"/>
        <w:rPr>
          <w:sz w:val="20"/>
          <w:szCs w:val="20"/>
          <w:color w:val="auto"/>
        </w:rPr>
      </w:pPr>
    </w:p>
    <w:p>
      <w:pPr>
        <w:ind w:left="40" w:right="140" w:firstLine="317"/>
        <w:spacing w:after="0" w:line="289" w:lineRule="auto"/>
        <w:rPr>
          <w:sz w:val="20"/>
          <w:szCs w:val="20"/>
          <w:color w:val="auto"/>
        </w:rPr>
      </w:pPr>
      <w:r>
        <w:rPr>
          <w:rFonts w:ascii="Times New Roman" w:cs="Times New Roman" w:eastAsia="Times New Roman" w:hAnsi="Times New Roman"/>
          <w:sz w:val="20"/>
          <w:szCs w:val="20"/>
          <w:color w:val="auto"/>
        </w:rPr>
        <w:t>We also hired additional staff to ensure these incremental controls are properly implemented and to ensure proper segregation of duties around the review of manual journal entries.</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believe these actions remediated our material weaknesses during the year ended December 31, 2025.</w:t>
      </w:r>
    </w:p>
    <w:p>
      <w:pPr>
        <w:sectPr>
          <w:pgSz w:w="11880" w:h="15480" w:orient="portrait"/>
          <w:cols w:equalWidth="0" w:num="1">
            <w:col w:w="10780"/>
          </w:cols>
          <w:pgMar w:left="540" w:top="1347" w:right="56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119</w:t>
      </w:r>
    </w:p>
    <w:p>
      <w:pPr>
        <w:sectPr>
          <w:pgSz w:w="11880" w:h="15480" w:orient="portrait"/>
          <w:cols w:equalWidth="0" w:num="1">
            <w:col w:w="10780"/>
          </w:cols>
          <w:pgMar w:left="540" w:top="1347" w:right="56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3" w:lineRule="exact"/>
        <w:rPr>
          <w:sz w:val="20"/>
          <w:szCs w:val="20"/>
          <w:color w:val="auto"/>
        </w:rPr>
      </w:pPr>
    </w:p>
    <w:p>
      <w:pPr>
        <w:ind w:right="180" w:firstLine="360"/>
        <w:spacing w:after="0" w:line="259" w:lineRule="auto"/>
        <w:rPr>
          <w:sz w:val="20"/>
          <w:szCs w:val="20"/>
          <w:color w:val="auto"/>
        </w:rPr>
      </w:pPr>
      <w:r>
        <w:rPr>
          <w:rFonts w:ascii="Times New Roman" w:cs="Times New Roman" w:eastAsia="Times New Roman" w:hAnsi="Times New Roman"/>
          <w:sz w:val="20"/>
          <w:szCs w:val="20"/>
          <w:color w:val="auto"/>
        </w:rPr>
        <w:t>Other than described above, there have not been any changes in our internal control over financial reporting (as defined in Rules 13a-15(f) and 15(d)-15(f) under the Exchange Act) during the year to which this Report relates that have materially affected or are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of Internal Controls</w:t>
      </w:r>
    </w:p>
    <w:p>
      <w:pPr>
        <w:spacing w:after="0" w:line="244"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Our management, including our chief executive officer and chief financial officer, or persons performing similar functions, does not expect that our disclosure controls and procedures or our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3"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During the quarter ended December 31, 2025, no director or officer of the Company adopted or terminated a “Rule 10b5-1 trading arrangement” or a “non-Rule 10b5-1 trading arrangement” (in each case, as defined in Item 408 of Regulation 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1880" w:h="15480" w:orient="portrait"/>
          <w:cols w:equalWidth="0" w:num="1">
            <w:col w:w="10800"/>
          </w:cols>
          <w:pgMar w:left="540" w:top="1347" w:right="540" w:bottom="0" w:gutter="0" w:footer="0" w:header="0"/>
          <w:type w:val="continuous"/>
        </w:sectPr>
      </w:pPr>
    </w:p>
    <w:bookmarkStart w:id="124" w:name="page125"/>
    <w:bookmarkEnd w:id="124"/>
    <w:p>
      <w:pPr>
        <w:ind w:left="49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4"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The information regarding director, officers and corporate governance is incorporated by reference to the information under the caption “Corporate Governance” that will be included in the AEON Biopharma, Inc. Proxy Statement for our 2026 Annual Meeting of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3" w:lineRule="exact"/>
        <w:rPr>
          <w:sz w:val="20"/>
          <w:szCs w:val="20"/>
          <w:color w:val="auto"/>
        </w:rPr>
      </w:pPr>
    </w:p>
    <w:p>
      <w:pPr>
        <w:ind w:right="160" w:firstLine="360"/>
        <w:spacing w:after="0" w:line="259" w:lineRule="auto"/>
        <w:rPr>
          <w:sz w:val="20"/>
          <w:szCs w:val="20"/>
          <w:color w:val="auto"/>
        </w:rPr>
      </w:pPr>
      <w:r>
        <w:rPr>
          <w:rFonts w:ascii="Times New Roman" w:cs="Times New Roman" w:eastAsia="Times New Roman" w:hAnsi="Times New Roman"/>
          <w:sz w:val="20"/>
          <w:szCs w:val="20"/>
          <w:color w:val="auto"/>
        </w:rPr>
        <w:t>The information regarding executive compensation is incorporated by reference to the information under the caption “Executive and Director Compensation” that will be included in the AEON Biopharma, Inc. Proxy Statement for our 2026 Annual Meeting of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3"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20"/>
          <w:szCs w:val="20"/>
          <w:color w:val="auto"/>
        </w:rPr>
        <w:t>The information regarding beneficial ownership and related stockholder matters are incorporated by reference to the information under the captions “Security Ownership of Certain Beneficial Owners and Management” and “Equity Compensation Plan Information” that will be included in the AEON Biopharma, Inc. Proxy Statement for our 2026 Annual Meeting of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3" w:lineRule="exact"/>
        <w:rPr>
          <w:sz w:val="20"/>
          <w:szCs w:val="20"/>
          <w:color w:val="auto"/>
        </w:rPr>
      </w:pPr>
    </w:p>
    <w:p>
      <w:pPr>
        <w:jc w:val="both"/>
        <w:ind w:right="120" w:firstLine="360"/>
        <w:spacing w:after="0" w:line="259" w:lineRule="auto"/>
        <w:rPr>
          <w:sz w:val="20"/>
          <w:szCs w:val="20"/>
          <w:color w:val="auto"/>
        </w:rPr>
      </w:pPr>
      <w:r>
        <w:rPr>
          <w:rFonts w:ascii="Times New Roman" w:cs="Times New Roman" w:eastAsia="Times New Roman" w:hAnsi="Times New Roman"/>
          <w:sz w:val="20"/>
          <w:szCs w:val="20"/>
          <w:color w:val="auto"/>
        </w:rPr>
        <w:t>The information regarding related party transactions and director independence are incorporated by reference to the information under the captions “Certain Relationships and Related Person Transactions” and “Director Independence” that will be included in the AEON Biopharma, Inc. Proxy Statement for our 2026 Annual Meeting of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3"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20"/>
          <w:szCs w:val="20"/>
          <w:color w:val="auto"/>
        </w:rPr>
        <w:t>The information regarding principal accountant fees and services is incorporated by reference to the information under the caption “Audit, Audit-Related, Tax and All Other Fees” that will be included in the AEON Biopharma, Inc. Proxy Statement for our 2026 Annual Meeting of Shareholders.</w:t>
      </w:r>
    </w:p>
    <w:p>
      <w:pPr>
        <w:sectPr>
          <w:pgSz w:w="11880" w:h="15480" w:orient="portrait"/>
          <w:cols w:equalWidth="0" w:num="1">
            <w:col w:w="10780"/>
          </w:cols>
          <w:pgMar w:left="540" w:top="134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121</w:t>
      </w:r>
    </w:p>
    <w:p>
      <w:pPr>
        <w:sectPr>
          <w:pgSz w:w="11880" w:h="15480" w:orient="portrait"/>
          <w:cols w:equalWidth="0" w:num="1">
            <w:col w:w="10780"/>
          </w:cols>
          <w:pgMar w:left="540" w:top="1347" w:right="560" w:bottom="0" w:gutter="0" w:footer="0" w:header="0"/>
          <w:type w:val="continuous"/>
        </w:sectPr>
      </w:pPr>
    </w:p>
    <w:bookmarkStart w:id="125" w:name="page126"/>
    <w:bookmarkEnd w:id="125"/>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44" w:lineRule="exact"/>
        <w:rPr>
          <w:sz w:val="20"/>
          <w:szCs w:val="20"/>
          <w:color w:val="auto"/>
        </w:rPr>
      </w:pPr>
    </w:p>
    <w:p>
      <w:pPr>
        <w:ind w:left="720" w:hanging="360"/>
        <w:spacing w:after="0"/>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 filed as part of this Form 10-K.</w:t>
      </w:r>
    </w:p>
    <w:p>
      <w:pPr>
        <w:spacing w:after="0" w:line="120" w:lineRule="exact"/>
        <w:rPr>
          <w:rFonts w:ascii="Times New Roman" w:cs="Times New Roman" w:eastAsia="Times New Roman" w:hAnsi="Times New Roman"/>
          <w:sz w:val="20"/>
          <w:szCs w:val="20"/>
          <w:color w:val="auto"/>
        </w:rPr>
      </w:pPr>
    </w:p>
    <w:p>
      <w:pPr>
        <w:ind w:left="1440" w:hanging="360"/>
        <w:spacing w:after="0"/>
        <w:tabs>
          <w:tab w:leader="none" w:pos="144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See Item 8, “Financial Statements and Supplementary Data” for a list of financial statements.</w:t>
      </w:r>
    </w:p>
    <w:p>
      <w:pPr>
        <w:spacing w:after="0" w:line="119" w:lineRule="exact"/>
        <w:rPr>
          <w:rFonts w:ascii="Times New Roman" w:cs="Times New Roman" w:eastAsia="Times New Roman" w:hAnsi="Times New Roman"/>
          <w:sz w:val="20"/>
          <w:szCs w:val="20"/>
          <w:color w:val="auto"/>
        </w:rPr>
      </w:pPr>
    </w:p>
    <w:p>
      <w:pPr>
        <w:ind w:left="1440" w:right="140" w:hanging="360"/>
        <w:spacing w:after="0" w:line="278" w:lineRule="auto"/>
        <w:tabs>
          <w:tab w:leader="none" w:pos="144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All schedules omitted are inapplicable or the information required is shown in the consolidated financial statements or notes thereto.</w:t>
      </w:r>
    </w:p>
    <w:p>
      <w:pPr>
        <w:spacing w:after="0" w:line="46" w:lineRule="exact"/>
        <w:rPr>
          <w:rFonts w:ascii="Times New Roman" w:cs="Times New Roman" w:eastAsia="Times New Roman" w:hAnsi="Times New Roman"/>
          <w:sz w:val="20"/>
          <w:szCs w:val="20"/>
          <w:color w:val="auto"/>
        </w:rPr>
      </w:pPr>
    </w:p>
    <w:p>
      <w:pPr>
        <w:ind w:left="1440" w:right="500" w:hanging="360"/>
        <w:spacing w:after="0" w:line="278" w:lineRule="auto"/>
        <w:tabs>
          <w:tab w:leader="none" w:pos="144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Required by Item 601 of Regulation S-K: The information called for by this paragraph is set forth in Item 15(b) below.</w:t>
      </w:r>
    </w:p>
    <w:p>
      <w:pPr>
        <w:spacing w:after="0" w:line="168"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See Exhibit Index</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680"/>
          </w:cols>
          <w:pgMar w:left="540" w:top="134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122</w:t>
      </w:r>
    </w:p>
    <w:p>
      <w:pPr>
        <w:sectPr>
          <w:pgSz w:w="11880" w:h="15480" w:orient="portrait"/>
          <w:cols w:equalWidth="0" w:num="1">
            <w:col w:w="10680"/>
          </w:cols>
          <w:pgMar w:left="540" w:top="1347" w:right="660" w:bottom="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75"/>
        </w:trPr>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720" w:type="dxa"/>
            <w:vAlign w:val="bottom"/>
          </w:tcPr>
          <w:p>
            <w:pPr>
              <w:ind w:left="3540"/>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0" w:type="dxa"/>
            <w:vAlign w:val="bottom"/>
          </w:tcPr>
          <w:p>
            <w:pPr>
              <w:spacing w:after="0"/>
              <w:rPr>
                <w:sz w:val="1"/>
                <w:szCs w:val="1"/>
                <w:color w:val="auto"/>
              </w:rPr>
            </w:pPr>
          </w:p>
        </w:tc>
      </w:tr>
      <w:tr>
        <w:trPr>
          <w:trHeight w:val="374"/>
        </w:trPr>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80" w:type="dxa"/>
            <w:vAlign w:val="bottom"/>
          </w:tcPr>
          <w:p>
            <w:pPr>
              <w:spacing w:after="0"/>
              <w:rPr>
                <w:sz w:val="24"/>
                <w:szCs w:val="24"/>
                <w:color w:val="auto"/>
              </w:rPr>
            </w:pPr>
          </w:p>
        </w:tc>
        <w:tc>
          <w:tcPr>
            <w:tcW w:w="9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80" w:type="dxa"/>
            <w:vAlign w:val="bottom"/>
          </w:tcPr>
          <w:p>
            <w:pPr>
              <w:spacing w:after="0"/>
              <w:rPr>
                <w:sz w:val="17"/>
                <w:szCs w:val="17"/>
                <w:color w:val="auto"/>
              </w:rPr>
            </w:pPr>
          </w:p>
        </w:tc>
        <w:tc>
          <w:tcPr>
            <w:tcW w:w="9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99"/>
        </w:trPr>
        <w:tc>
          <w:tcPr>
            <w:tcW w:w="9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2.1*</w:t>
            </w:r>
          </w:p>
        </w:tc>
        <w:tc>
          <w:tcPr>
            <w:tcW w:w="180" w:type="dxa"/>
            <w:vAlign w:val="bottom"/>
          </w:tcPr>
          <w:p>
            <w:pPr>
              <w:spacing w:after="0"/>
              <w:rPr>
                <w:sz w:val="17"/>
                <w:szCs w:val="17"/>
                <w:color w:val="auto"/>
              </w:rPr>
            </w:pPr>
          </w:p>
        </w:tc>
        <w:tc>
          <w:tcPr>
            <w:tcW w:w="97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Business Combination Agreement, dated as of December 12, 2022, by and among Priveterra Acquisition Corp.,</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Priveterra Merger Sub, Inc. and AEON Biopharma, Inc. (incorporated by reference to Exhibit 2.1 to the Form 8-K filed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by Priveterra Acquisition Corp. with the SEC on December 13, 2022)</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2.1(a)*</w:t>
            </w: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Amendment No. 1 to Business Combination Agreement, dated as of April 27, 2023, by and among Priveterra</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Acquisition Corp., AEON Biopharma, Inc. and Priveterra Merger Sub, Inc. (incorporated by reference to Exhibit 2.1 to</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the Form 8-K filed by Priveterra Acquisition Corp. with the SEC on May 1, 2023)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Third Amended and Restated Certificate of Incorporation of AEON Biopharma, Inc. (incorporated by reference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Exhibit 3.1 to the Form 8-K filed by the Company with the SEC on July 27, 2023)</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Certificate of Amendment of Third Amended and Restated Certificate of Incorporation of AEON Biopharma, Inc.</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3.1 to the Form 8-K filed by the Company with the SEC on February 24, 2025)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Amended and Restated Bylaws of AEON Biopharma, Inc. (incorporated by reference to Exhibit 3.2 to the Form 8-K</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filed by the Company with the SEC on July 27, 2023)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Amendment to Amended and Restated Bylaws of AEON Biopharma, Inc. (incorporated by reference to Exhibit 3.1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Form 8-K filed by the Company with the SEC on December 20, 2024)</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Warrant Agreement between Priveterra Acquisition Corp. and Continental Stock Transfer &amp; Trust Company, dated as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February 8, 2021 (incorporated by reference to Exhibit 4.1 to the Form 10-K filed by Priveterra Acquisition Corp. with</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the SEC on March 28, 2022)</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Specimen Warrant Certificate (incorporated by reference to Exhibit 4.2 to the Form 10-K filed by Priveterra Acquisition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Corp. with the SEC on March 29, 2024)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AEON Biopharma Inc.’s Securities Registered Pursuant to Section 12 of the Securities Exchange Act of</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1934 (incorporated by reference to Exhibit 4.5 to the Form 10-K filed by the Company with the SEC on August 12,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1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Form of Series A Warrant (incorporated by reference to Exhibit 4.1 to the Form 8-K filed by the Company with the SEC</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on January 7, 2025)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Form of Series B Warrant (incorporated by reference to Exhibit 4.2 to the Form 8-K filed by the Company with the SEC</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on January 7, 2025)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Form of Pre-Funded Warrant (incorporated by reference to Exhibit 4.1 to the Form 8-K filed by the Company with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SEC on November 13, 2025)</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4.7</w:t>
            </w: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Form of Warrant (incorporated by reference to Exhibit 4.2 to the Form 8-K filed by the Company with the SEC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November 13, 2025)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4.8</w:t>
            </w: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Form of True-Up Warrant (incorporated by reference to Exhibit 4.3 to the Form 8-K filed by the Company with the SEC</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on November 13, 2025)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4.9</w:t>
            </w: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Form of Senior Secured Convertible Note (incorporated by reference to Exhibit 4.1 to the Form 8-K filed by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Company with the SEC on December 15, 2025)</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4.10</w:t>
            </w: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Form of Pre-Funded Warrant (incorporated by reference to Exhibit 4.2 to the Form 8-K filed by the Company with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SEC on December 15, 2025)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4.11</w:t>
            </w: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Form of Common Warrant (incorporated by reference to Exhibit 4.3 to the Form 8-K filed by the Company with the SEC</w:t>
            </w:r>
          </w:p>
        </w:tc>
        <w:tc>
          <w:tcPr>
            <w:tcW w:w="0" w:type="dxa"/>
            <w:vAlign w:val="bottom"/>
          </w:tcPr>
          <w:p>
            <w:pPr>
              <w:spacing w:after="0"/>
              <w:rPr>
                <w:sz w:val="1"/>
                <w:szCs w:val="1"/>
                <w:color w:val="auto"/>
              </w:rPr>
            </w:pPr>
          </w:p>
        </w:tc>
      </w:tr>
      <w:tr>
        <w:trPr>
          <w:trHeight w:val="229"/>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w:t>
            </w:r>
            <w:r>
              <w:rPr>
                <w:rFonts w:ascii="Times New Roman" w:cs="Times New Roman" w:eastAsia="Times New Roman" w:hAnsi="Times New Roman"/>
                <w:sz w:val="20"/>
                <w:szCs w:val="20"/>
                <w:b w:val="1"/>
                <w:bCs w:val="1"/>
                <w:color w:val="auto"/>
              </w:rPr>
              <w:t>+</w:t>
            </w:r>
          </w:p>
        </w:tc>
        <w:tc>
          <w:tcPr>
            <w:tcW w:w="9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on December 15, 2025)</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AEON Biopharma, Inc. Amended and Restated 2019 Incentive Award Plan (incorporated by reference to Exhibit 10.1 to</w:t>
            </w:r>
          </w:p>
        </w:tc>
        <w:tc>
          <w:tcPr>
            <w:tcW w:w="0" w:type="dxa"/>
            <w:vAlign w:val="bottom"/>
          </w:tcPr>
          <w:p>
            <w:pPr>
              <w:spacing w:after="0"/>
              <w:rPr>
                <w:sz w:val="1"/>
                <w:szCs w:val="1"/>
                <w:color w:val="auto"/>
              </w:rPr>
            </w:pPr>
          </w:p>
        </w:tc>
      </w:tr>
      <w:tr>
        <w:trPr>
          <w:trHeight w:val="230"/>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10.1(a)</w:t>
            </w:r>
            <w:r>
              <w:rPr>
                <w:rFonts w:ascii="Times New Roman" w:cs="Times New Roman" w:eastAsia="Times New Roman" w:hAnsi="Times New Roman"/>
                <w:sz w:val="20"/>
                <w:szCs w:val="20"/>
                <w:b w:val="1"/>
                <w:bCs w:val="1"/>
                <w:color w:val="auto"/>
              </w:rPr>
              <w:t>+</w:t>
            </w: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the Form 8-K filed by the Company with the SEC on July 27, 2023)</w:t>
            </w:r>
          </w:p>
        </w:tc>
        <w:tc>
          <w:tcPr>
            <w:tcW w:w="0" w:type="dxa"/>
            <w:vAlign w:val="bottom"/>
          </w:tcPr>
          <w:p>
            <w:pPr>
              <w:spacing w:after="0"/>
              <w:rPr>
                <w:sz w:val="1"/>
                <w:szCs w:val="1"/>
                <w:color w:val="auto"/>
              </w:rPr>
            </w:pPr>
          </w:p>
        </w:tc>
      </w:tr>
      <w:tr>
        <w:trPr>
          <w:trHeight w:val="229"/>
        </w:trPr>
        <w:tc>
          <w:tcPr>
            <w:tcW w:w="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Form of Stock Option Agreement under AEON Biopharma, Inc. Amended and Restated 2019 Incentive Award Plan</w:t>
            </w:r>
          </w:p>
        </w:tc>
        <w:tc>
          <w:tcPr>
            <w:tcW w:w="0" w:type="dxa"/>
            <w:vAlign w:val="bottom"/>
          </w:tcPr>
          <w:p>
            <w:pPr>
              <w:spacing w:after="0"/>
              <w:rPr>
                <w:sz w:val="1"/>
                <w:szCs w:val="1"/>
                <w:color w:val="auto"/>
              </w:rPr>
            </w:pPr>
          </w:p>
        </w:tc>
      </w:tr>
      <w:tr>
        <w:trPr>
          <w:trHeight w:val="230"/>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10.1(b)</w:t>
            </w:r>
            <w:r>
              <w:rPr>
                <w:rFonts w:ascii="Times New Roman" w:cs="Times New Roman" w:eastAsia="Times New Roman" w:hAnsi="Times New Roman"/>
                <w:sz w:val="20"/>
                <w:szCs w:val="20"/>
                <w:b w:val="1"/>
                <w:bCs w:val="1"/>
                <w:color w:val="auto"/>
              </w:rPr>
              <w:t>+</w:t>
            </w: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10.2 to the Form 8-K filed by the Company with the SEC on July 27, 2023)</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Form of Restricted Stock Unit Agreement under AEON Biopharma, Inc. Amended and Restated 2019 Incentive Award</w:t>
            </w:r>
          </w:p>
        </w:tc>
        <w:tc>
          <w:tcPr>
            <w:tcW w:w="0" w:type="dxa"/>
            <w:vAlign w:val="bottom"/>
          </w:tcPr>
          <w:p>
            <w:pPr>
              <w:spacing w:after="0"/>
              <w:rPr>
                <w:sz w:val="1"/>
                <w:szCs w:val="1"/>
                <w:color w:val="auto"/>
              </w:rPr>
            </w:pPr>
          </w:p>
        </w:tc>
      </w:tr>
      <w:tr>
        <w:trPr>
          <w:trHeight w:val="229"/>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10.1(c)</w:t>
            </w:r>
            <w:r>
              <w:rPr>
                <w:rFonts w:ascii="Times New Roman" w:cs="Times New Roman" w:eastAsia="Times New Roman" w:hAnsi="Times New Roman"/>
                <w:sz w:val="20"/>
                <w:szCs w:val="20"/>
                <w:b w:val="1"/>
                <w:bCs w:val="1"/>
                <w:color w:val="auto"/>
              </w:rPr>
              <w:t>+</w:t>
            </w:r>
          </w:p>
        </w:tc>
        <w:tc>
          <w:tcPr>
            <w:tcW w:w="1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Plan (incorporated by reference to Exhibit 10.3 to the Form 8-K filed by the Company with the SEC on July 27, 2023)</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Form of Restricted Stock Unit Agreement under AEON Biopharma, Inc. Amended and Restated 2019 Incentive Award</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Plan (409A Deferred Compensation) (incorporated by reference to Exhibit 10.4 to the Form 8-K filed by the Company</w:t>
            </w:r>
          </w:p>
        </w:tc>
        <w:tc>
          <w:tcPr>
            <w:tcW w:w="0" w:type="dxa"/>
            <w:vAlign w:val="bottom"/>
          </w:tcPr>
          <w:p>
            <w:pPr>
              <w:spacing w:after="0"/>
              <w:rPr>
                <w:sz w:val="1"/>
                <w:szCs w:val="1"/>
                <w:color w:val="auto"/>
              </w:rPr>
            </w:pPr>
          </w:p>
        </w:tc>
      </w:tr>
      <w:tr>
        <w:trPr>
          <w:trHeight w:val="230"/>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w:t>
            </w:r>
            <w:r>
              <w:rPr>
                <w:rFonts w:ascii="Times New Roman" w:cs="Times New Roman" w:eastAsia="Times New Roman" w:hAnsi="Times New Roman"/>
                <w:sz w:val="20"/>
                <w:szCs w:val="20"/>
                <w:b w:val="1"/>
                <w:bCs w:val="1"/>
                <w:color w:val="auto"/>
              </w:rPr>
              <w:t>+</w:t>
            </w: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with the SEC on July 27, 2023)</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AEON Biopharma, Inc. 2023 Employee Stock Purchase Plan (incorporated by reference to Exhibit 10.9 to the</w:t>
            </w:r>
          </w:p>
        </w:tc>
        <w:tc>
          <w:tcPr>
            <w:tcW w:w="0" w:type="dxa"/>
            <w:vAlign w:val="bottom"/>
          </w:tcPr>
          <w:p>
            <w:pPr>
              <w:spacing w:after="0"/>
              <w:rPr>
                <w:sz w:val="1"/>
                <w:szCs w:val="1"/>
                <w:color w:val="auto"/>
              </w:rPr>
            </w:pPr>
          </w:p>
        </w:tc>
      </w:tr>
      <w:tr>
        <w:trPr>
          <w:trHeight w:val="229"/>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10.3</w:t>
            </w:r>
            <w:r>
              <w:rPr>
                <w:rFonts w:ascii="Times New Roman" w:cs="Times New Roman" w:eastAsia="Times New Roman" w:hAnsi="Times New Roman"/>
                <w:sz w:val="20"/>
                <w:szCs w:val="20"/>
                <w:b w:val="1"/>
                <w:bCs w:val="1"/>
                <w:color w:val="auto"/>
              </w:rPr>
              <w:t>+</w:t>
            </w:r>
          </w:p>
        </w:tc>
        <w:tc>
          <w:tcPr>
            <w:tcW w:w="1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Form S-1/A filed by the Company with the SEC on April 2, 2024)</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AEON Biopharma, Inc. Non-Employee Director Compensation Program (incorporated by reference to Exhibit 10.6 to</w:t>
            </w:r>
          </w:p>
        </w:tc>
        <w:tc>
          <w:tcPr>
            <w:tcW w:w="0" w:type="dxa"/>
            <w:vAlign w:val="bottom"/>
          </w:tcPr>
          <w:p>
            <w:pPr>
              <w:spacing w:after="0"/>
              <w:rPr>
                <w:sz w:val="1"/>
                <w:szCs w:val="1"/>
                <w:color w:val="auto"/>
              </w:rPr>
            </w:pPr>
          </w:p>
        </w:tc>
      </w:tr>
      <w:tr>
        <w:trPr>
          <w:trHeight w:val="267"/>
        </w:trPr>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the Form 8-K filed by the Company with the SEC on July 27,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1880" w:h="15480" w:orient="portrait"/>
          <w:cols w:equalWidth="0" w:num="1">
            <w:col w:w="10800"/>
          </w:cols>
          <w:pgMar w:left="540" w:top="1345" w:right="540" w:bottom="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10.4</w:t>
            </w:r>
            <w:r>
              <w:rPr>
                <w:rFonts w:ascii="Times New Roman" w:cs="Times New Roman" w:eastAsia="Times New Roman" w:hAnsi="Times New Roman"/>
                <w:sz w:val="20"/>
                <w:szCs w:val="20"/>
                <w:b w:val="1"/>
                <w:bCs w:val="1"/>
                <w:color w:val="auto"/>
              </w:rPr>
              <w:t>+</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Amended and Restated Employment Agreement, by and between AEON Biopharma, Inc. and Marc Forth (incorporated</w:t>
            </w:r>
          </w:p>
        </w:tc>
        <w:tc>
          <w:tcPr>
            <w:tcW w:w="0" w:type="dxa"/>
            <w:vAlign w:val="bottom"/>
          </w:tcPr>
          <w:p>
            <w:pPr>
              <w:spacing w:after="0"/>
              <w:rPr>
                <w:sz w:val="1"/>
                <w:szCs w:val="1"/>
                <w:color w:val="auto"/>
              </w:rPr>
            </w:pPr>
          </w:p>
        </w:tc>
      </w:tr>
      <w:tr>
        <w:trPr>
          <w:trHeight w:val="230"/>
        </w:trPr>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10.5</w:t>
            </w:r>
            <w:r>
              <w:rPr>
                <w:rFonts w:ascii="Times New Roman" w:cs="Times New Roman" w:eastAsia="Times New Roman" w:hAnsi="Times New Roman"/>
                <w:sz w:val="20"/>
                <w:szCs w:val="20"/>
                <w:b w:val="1"/>
                <w:bCs w:val="1"/>
                <w:color w:val="auto"/>
              </w:rPr>
              <w:t>+</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by reference to Exhibit 10.11 to the Form 8-K filed by the Company with the SEC on July 27, 2023)</w:t>
            </w:r>
          </w:p>
        </w:tc>
        <w:tc>
          <w:tcPr>
            <w:tcW w:w="0" w:type="dxa"/>
            <w:vAlign w:val="bottom"/>
          </w:tcPr>
          <w:p>
            <w:pPr>
              <w:spacing w:after="0"/>
              <w:rPr>
                <w:sz w:val="1"/>
                <w:szCs w:val="1"/>
                <w:color w:val="auto"/>
              </w:rPr>
            </w:pPr>
          </w:p>
        </w:tc>
      </w:tr>
      <w:tr>
        <w:trPr>
          <w:trHeight w:val="229"/>
        </w:trPr>
        <w:tc>
          <w:tcPr>
            <w:tcW w:w="880" w:type="dxa"/>
            <w:vAlign w:val="bottom"/>
            <w:vMerge w:val="continue"/>
          </w:tcPr>
          <w:p>
            <w:pPr>
              <w:spacing w:after="0"/>
              <w:rPr>
                <w:sz w:val="19"/>
                <w:szCs w:val="19"/>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Employment Agreement, by and between AEON Biopharma, Inc. and Chad Oh (incorporated by reference to</w:t>
            </w:r>
          </w:p>
        </w:tc>
        <w:tc>
          <w:tcPr>
            <w:tcW w:w="0" w:type="dxa"/>
            <w:vAlign w:val="bottom"/>
          </w:tcPr>
          <w:p>
            <w:pPr>
              <w:spacing w:after="0"/>
              <w:rPr>
                <w:sz w:val="1"/>
                <w:szCs w:val="1"/>
                <w:color w:val="auto"/>
              </w:rPr>
            </w:pPr>
          </w:p>
        </w:tc>
      </w:tr>
      <w:tr>
        <w:trPr>
          <w:trHeight w:val="230"/>
        </w:trPr>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10.6</w:t>
            </w:r>
            <w:r>
              <w:rPr>
                <w:rFonts w:ascii="Times New Roman" w:cs="Times New Roman" w:eastAsia="Times New Roman" w:hAnsi="Times New Roman"/>
                <w:sz w:val="20"/>
                <w:szCs w:val="20"/>
                <w:b w:val="1"/>
                <w:bCs w:val="1"/>
                <w:color w:val="auto"/>
              </w:rPr>
              <w:t>+</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Exhibit 10.12 to the Form 8-K filed by the Company with the SEC on July 27, 2023)</w:t>
            </w: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Employment Agreement, by and between AEON Biopharma, Inc. and Alex Wilson (incorporated by reference to</w:t>
            </w:r>
          </w:p>
        </w:tc>
        <w:tc>
          <w:tcPr>
            <w:tcW w:w="0" w:type="dxa"/>
            <w:vAlign w:val="bottom"/>
          </w:tcPr>
          <w:p>
            <w:pPr>
              <w:spacing w:after="0"/>
              <w:rPr>
                <w:sz w:val="1"/>
                <w:szCs w:val="1"/>
                <w:color w:val="auto"/>
              </w:rPr>
            </w:pPr>
          </w:p>
        </w:tc>
      </w:tr>
      <w:tr>
        <w:trPr>
          <w:trHeight w:val="229"/>
        </w:trPr>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10.7</w:t>
            </w:r>
            <w:r>
              <w:rPr>
                <w:rFonts w:ascii="Times New Roman" w:cs="Times New Roman" w:eastAsia="Times New Roman" w:hAnsi="Times New Roman"/>
                <w:sz w:val="20"/>
                <w:szCs w:val="20"/>
                <w:b w:val="1"/>
                <w:bCs w:val="1"/>
                <w:color w:val="auto"/>
              </w:rPr>
              <w:t>+</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Exhibit 10.13 to the Form 8-K filed by the Company with the SEC on July 27, 2023)</w:t>
            </w: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Consulting Agreement, by and between AEON Biopharma, Inc. and Eric Carter, M.D., dated January 30, 2020, and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amended on January 30 2020 and September 30, 2020 (incorporated by reference to Exhibit 10.11 to the Annual Report</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on Form 10-K filed by the Company with the SEC on March 29, 2024)</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Amended and Restated Registration Rights Agreement, dated as of July 21, 2023, by and between AEON Biopharma,</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Inc. and the stockholders party thereto (incorporated by reference to Exhibit 10.20 to the Form 8-K filed by the Company</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with the SEC on July 27, 2023)</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Termination Agreement, dated March 18, 2024, by and between AEON Biopharma, Inc. and ACM ARRT J LLC</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(incorporated by reference to Exhibit 10.5 to the Form 8-K filed by the Company with the SEC on March 19, 2024)</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Termination Agreement, dated March 18, 2024, by and between AEON Biopharma, Inc. and Polar Multi-Strategy Fund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(incorporated by reference to Exhibit 10.6 to the Form 8-K filed by the Company with the SEC on March 19, 2024)</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Subscription Agreement, dated March 19, 2024, by and between AEON Biopharma, Inc., Daewoong Pharmaceutical</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 LTD. and AEON Biopharma Sub, Inc. (incorporated by reference to Exhibit 10.1 to the Form 8-K filed by the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Company with the SEC on March 19, 2024)</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Security Agreement, dated March 19, 2024, by and among AEON Biopharma, Inc., Daewoong Pharmaceutical Co.,</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LTD. and AEON Biopharma Sub, Inc. (incorporated by reference to Exhibit 10.2 to the Form 8-K filed by the Company</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with the SEC on March 19, 2024)</w:t>
            </w:r>
          </w:p>
        </w:tc>
        <w:tc>
          <w:tcPr>
            <w:tcW w:w="0" w:type="dxa"/>
            <w:vAlign w:val="bottom"/>
          </w:tcPr>
          <w:p>
            <w:pPr>
              <w:spacing w:after="0"/>
              <w:rPr>
                <w:sz w:val="1"/>
                <w:szCs w:val="1"/>
                <w:color w:val="auto"/>
              </w:rPr>
            </w:pPr>
          </w:p>
        </w:tc>
      </w:tr>
      <w:tr>
        <w:trPr>
          <w:trHeight w:val="229"/>
        </w:trPr>
        <w:tc>
          <w:tcPr>
            <w:tcW w:w="8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10.13</w:t>
            </w:r>
          </w:p>
        </w:tc>
        <w:tc>
          <w:tcPr>
            <w:tcW w:w="9920" w:type="dxa"/>
            <w:vAlign w:val="bottom"/>
          </w:tcPr>
          <w:p>
            <w:pPr>
              <w:ind w:left="200"/>
              <w:spacing w:after="0" w:line="229" w:lineRule="exact"/>
              <w:rPr>
                <w:sz w:val="20"/>
                <w:szCs w:val="20"/>
                <w:color w:val="auto"/>
              </w:rPr>
            </w:pPr>
            <w:r>
              <w:rPr>
                <w:rFonts w:ascii="Times New Roman" w:cs="Times New Roman" w:eastAsia="Times New Roman" w:hAnsi="Times New Roman"/>
                <w:sz w:val="20"/>
                <w:szCs w:val="20"/>
                <w:color w:val="auto"/>
              </w:rPr>
              <w:t>Guaranty, dated March 19, 2024, by and between Daewoong Pharmaceutical Co., LTD. and AEON Biopharma Sub, Inc.</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(incorporated by reference to Exhibit 10.3 to the Form 8-K filed by the Company with the SEC on March 19, 2024)</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License and Supply Agreement, dated as of December 20, 2019, by and between Daewoong Pharmaceutical Co., LTD.</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and AEON Biopharma, Inc. (incorporated by reference to Exhibit 10.15 to the Form S-4 filed by Priveterra Acquisition</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 with the SEC on December 27, 2022)</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10.14(a)</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Amendment to License and Supply Agreement, dated as of July 29, 2022, by and between Daewoong Pharmaceutical</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 LTD. and AEON Biopharma, Inc. (incorporated by reference to Exhibit 10.15(a) to the Form S-4 filed by Priveterra</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Acquisition Corp. with the SEC on December 27, 2022)</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10.14(b)</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Second Amendment to the License and Supply Agreement, dated as of January 8, 2023, by and between AEON</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Biopharma, Inc. and Daewoong Pharmaceutical Co., Ltd. (incorporated by reference to Exhibit 10.17(b) to the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S-1/A filed by the Company with the SEC on April 2, 2024)</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10.14(c)</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Third Amendment to License and Supply Agreement, dated April 24, 2023, by and between Daewoong Pharmaceutical</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 (incorporated by reference to Exhibit 10.17(c) to the Form S-1/A filed by the Company with the SEC on April 2,</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10.14(d)</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Fourth Amendment to License and Supply Agreement, dated March 19, 2024, by and between AEON Biopharma, Inc.</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and Daewoong Pharmaceutical Co., LTD. (incorporated by reference to Exhibit 10.4 to the Form 8-K filed by the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Company with the SEC on March 19, 2024)</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Settlement and License Agreement dated as of June 21, 2021, by and between AEON Biopharma, Inc. and Medytox, Inc.</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(incorporated by reference to Exhibit 10.16 to the Form S-4 filed by Priveterra Acquisition Corp. with the SEC on</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December 27, 2022)</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10.15(a)</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Amendment to Settlement and License Agreement, dated as of May 5, 2022, by and between AEON Biopharma, Inc.</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and Medytox, Inc. (incorporated by reference to Exhibit 10.16(a) to the Form S-4 filed by Priveterra Acquisition Corp.</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with the SEC on December 27, 2022)</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Sponsor Support Agreement, dated as of December 12, 2022, by and among Priveterra Sponsor, LLC, Priveterra</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Acquisition Corp., and the other parties thereto (incorporated by reference to Exhibit 10.18 to the Form S-1/A filed by</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the Company with the SEC on November 24, 2023)</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10.16(a)</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Amendment No. 1 to Sponsor Support Agreement, dated as of April 27, 2023, by and among Priveterra Sponsor, LLC,</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Priveterra Acquisition Corp., and the other parties thereto (incorporated by reference to Exhibit 10.17 to the Form S-4/A</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filed by Priveterra Acquisition Corp. with the SEC on May 1, 2023)</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Underwriting Agreement, dated January 6, 2025, by and between AEON Biopharma, Inc. and Aegis Capital Corp</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(incorporated by reference to Exhibit 10.1 to the Form 8-K filed by the Company with the SEC on January 7, 2025)</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Employment Agreement, by and between AEON Biopharma, Inc. and Robert Bancroft (incorporated by reference to</w:t>
            </w: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Exhibit 10.1 to the Form 8-K filed by the Company with the SEC on April 21,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1880" w:h="15480" w:orient="portrait"/>
          <w:cols w:equalWidth="0" w:num="1">
            <w:col w:w="10800"/>
          </w:cols>
          <w:pgMar w:left="540" w:top="1345" w:right="540" w:bottom="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AEON Biopharma, Inc. 2025 Employment Inducement Incentive Award Plan and form of award agreements thereto</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(incorporated by reference to Exhibit 99.1 to the Form S-8 filed by the Company with the SEC on May 14, 2025)</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Securities Purchase Agreement, dated November 12, 2025, by and among AEON Biopharma, Inc. and the several</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investors signatory thereto (incorporated by reference to Exhibit 10.1 to the Form 8-K filed by the Company with the</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 on November 13, 2025)</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Registration Rights Agreement to be entered by and among AEON Biopharma, Inc. and the several investors</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signatory thereto (incorporated by reference to Exhibit 10.2 to the Form 8-K filed by the Company with the SEC on</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November 13, 2025)</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Odeon Settlement Agreement October 2025 (incorporated by reference to Exhibit 10.1 to the Form 10-Q filed by the</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Company with the SEC on November 14, 2025)</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Odeon Warrants October 2025 (incorporated by reference to Exhibit 10.2 to the Form 10-Q filed by the</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Company with the SEC on November 14, 2025)</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Exchange Agreement, dated as of December 15, 2025, by and among AEON Biopharma, Inc., AEON Biopharma Sub,</w:t>
            </w:r>
          </w:p>
        </w:tc>
      </w:tr>
      <w:tr>
        <w:trPr>
          <w:trHeight w:val="229"/>
        </w:trPr>
        <w:tc>
          <w:tcPr>
            <w:tcW w:w="960" w:type="dxa"/>
            <w:vAlign w:val="bottom"/>
          </w:tcPr>
          <w:p>
            <w:pPr>
              <w:spacing w:after="0"/>
              <w:rPr>
                <w:sz w:val="19"/>
                <w:szCs w:val="19"/>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 and Daewoong Pharmaceutical Co. Ltd (incorporated by reference to Exhibit 10.1 to the Form 8-K filed by the</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Company with the SEC on December 15, 2025)</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AEON Biopharma, Inc. Amended and Restated 2023 Incentive Award Plan (incorporated by reference to Exhibit 10.1 to</w:t>
            </w:r>
          </w:p>
        </w:tc>
      </w:tr>
      <w:tr>
        <w:trPr>
          <w:trHeight w:val="229"/>
        </w:trPr>
        <w:tc>
          <w:tcPr>
            <w:tcW w:w="960" w:type="dxa"/>
            <w:vAlign w:val="bottom"/>
          </w:tcPr>
          <w:p>
            <w:pPr>
              <w:spacing w:after="0"/>
              <w:rPr>
                <w:sz w:val="19"/>
                <w:szCs w:val="19"/>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Form 8-K filed by the Company with the SEC on January 21, 2026)</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10.25(a)+</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Stock Option Agreement under AEON Biopharma, Inc. 2023 Incentive Award Plan (incorporated by reference</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 Exhibit 10.6 to the Form S-4/A filed by Priveterra Acquisition Corp. with the SEC on May 1, 2023)</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10.25(b)+</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Restricted Stock Unit Agreement under AEON Biopharma, Inc. 2023 Incentive Award Plan (incorporated by</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reference to Exhibit 10.7 to the Form S-4/A filed by Priveterra Acquisition Corp. with the SEC on May 1, 2023)</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Fifth Amendment to the License and Supply Agreement, dated as of January 21, 2026, by and between the Company and</w:t>
            </w:r>
          </w:p>
        </w:tc>
      </w:tr>
      <w:tr>
        <w:trPr>
          <w:trHeight w:val="229"/>
        </w:trPr>
        <w:tc>
          <w:tcPr>
            <w:tcW w:w="960" w:type="dxa"/>
            <w:vAlign w:val="bottom"/>
          </w:tcPr>
          <w:p>
            <w:pPr>
              <w:spacing w:after="0"/>
              <w:rPr>
                <w:sz w:val="19"/>
                <w:szCs w:val="19"/>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Daewoong Pharmaceutical Co., Ltd (incorporated by reference to Exhibit 10.2 to the Form 8-K filed by the Company</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with the SEC on January 21, 2026)</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Employment Agreement, by and between AEON Biopharma, Inc. and John Benich (incorporated by reference to</w:t>
            </w:r>
          </w:p>
        </w:tc>
      </w:tr>
      <w:tr>
        <w:trPr>
          <w:trHeight w:val="229"/>
        </w:trPr>
        <w:tc>
          <w:tcPr>
            <w:tcW w:w="960" w:type="dxa"/>
            <w:vAlign w:val="bottom"/>
          </w:tcPr>
          <w:p>
            <w:pPr>
              <w:spacing w:after="0"/>
              <w:rPr>
                <w:sz w:val="19"/>
                <w:szCs w:val="19"/>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Exhibit 10.1 to the Form 8-K filed by the Company with the SEC on March 9, 2026)</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Employment Agreement, by and between AEON Biopharma, Inc. and Jennifer Sy (incorporated by reference to</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Exhibit 10.2 to the Form 8-K filed by the Company with the SEC on March 9, 2026)</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Indemnification Agreement (incorporated by reference to Exhibit 10.9 to the Form S-4 on May 1, 2023)</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19†</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Insider Trading Policy</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List of Subsidiaries of AEON Biopharma, Inc.</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Power of Attorney (included on signature page)</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Rules 13a-14(a) and 15d-14(a) under the Securities and</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Exchange Act of 1934, as adopted pursuant to Section 302 of the Sarbanes-Oxley Act of 2002</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Certification of Principal Financial Officer Pursuant to Rules 13a-14(a) and 15d-14(a) under the Securities and Exchange</w:t>
            </w:r>
          </w:p>
        </w:tc>
      </w:tr>
      <w:tr>
        <w:trPr>
          <w:trHeight w:val="229"/>
        </w:trPr>
        <w:tc>
          <w:tcPr>
            <w:tcW w:w="960" w:type="dxa"/>
            <w:vAlign w:val="bottom"/>
          </w:tcPr>
          <w:p>
            <w:pPr>
              <w:spacing w:after="0"/>
              <w:rPr>
                <w:sz w:val="19"/>
                <w:szCs w:val="19"/>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Act of 1934, as adopted pursuant to Section 302 of the Sarbanes-Oxley Act of 2002</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18 U.S.C. Section 1350, as adopted pursuant to Section 906 of</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Sarbanes-Oxley Act of 2002</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 Section 1350, as adopted pursuant to Section 906 of</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Sarbanes-Oxley Act of 2002</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AEON Biopharma, Inc. Policy for Recovery of Erroneously Awarded Compensation (incorporated by reference to</w:t>
            </w:r>
          </w:p>
        </w:tc>
      </w:tr>
      <w:tr>
        <w:trPr>
          <w:trHeight w:val="229"/>
        </w:trPr>
        <w:tc>
          <w:tcPr>
            <w:tcW w:w="960" w:type="dxa"/>
            <w:vAlign w:val="bottom"/>
          </w:tcPr>
          <w:p>
            <w:pPr>
              <w:spacing w:after="0"/>
              <w:rPr>
                <w:sz w:val="19"/>
                <w:szCs w:val="19"/>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Exhibit 97 to the Annual Report on Form 10-K filed by the Company with the SEC on March 29, 2024)</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XBRL Instance Document – the instance document does not appear in the Interactive Data File because its XBRL</w:t>
            </w:r>
          </w:p>
        </w:tc>
      </w:tr>
      <w:tr>
        <w:trPr>
          <w:trHeight w:val="230"/>
        </w:trPr>
        <w:tc>
          <w:tcPr>
            <w:tcW w:w="96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tags are embedded within the Inline XBRL document</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XBRL Taxonomy Extension Schema Document</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XBRL Taxonomy Extension Calculation Linkbase Document</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XBRL Taxonomy Extension Definition Linkbase Document</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XBRL Taxonomy Extension Label Linkbase Document</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XBRL Taxonomy Extension Presentation Linkbase Document</w:t>
            </w:r>
          </w:p>
        </w:tc>
      </w:tr>
      <w:tr>
        <w:trPr>
          <w:trHeight w:val="26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80645</wp:posOffset>
                </wp:positionV>
                <wp:extent cx="171386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35pt" to="134.9pt,6.35pt" o:allowincell="f" strokecolor="#000000" strokeweight="1.0199pt"/>
            </w:pict>
          </mc:Fallback>
        </mc:AlternateContent>
      </w:r>
    </w:p>
    <w:p>
      <w:pPr>
        <w:spacing w:after="0" w:line="150" w:lineRule="exact"/>
        <w:rPr>
          <w:sz w:val="20"/>
          <w:szCs w:val="20"/>
          <w:color w:val="auto"/>
        </w:rPr>
      </w:pPr>
    </w:p>
    <w:p>
      <w:pPr>
        <w:ind w:left="360" w:hanging="360"/>
        <w:spacing w:after="0"/>
        <w:tabs>
          <w:tab w:leader="none" w:pos="3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8" w:lineRule="exact"/>
        <w:rPr>
          <w:sz w:val="20"/>
          <w:szCs w:val="20"/>
          <w:color w:val="auto"/>
        </w:rPr>
      </w:pPr>
    </w:p>
    <w:p>
      <w:pPr>
        <w:ind w:left="360" w:right="80" w:hanging="360"/>
        <w:spacing w:after="0" w:line="273" w:lineRule="auto"/>
        <w:tabs>
          <w:tab w:leader="none" w:pos="36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annexes, schedules, and certain exhibits to this Exhibit have been omitted pursuant to Item 601(a)(5) of Regulation S-K. The Company hereby agrees to furnish supplementally a copy of any omitted annex, schedule or exhibit to the SEC upon request.</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125</w:t>
      </w:r>
    </w:p>
    <w:p>
      <w:pPr>
        <w:sectPr>
          <w:pgSz w:w="11880" w:h="15480" w:orient="portrait"/>
          <w:cols w:equalWidth="0" w:num="1">
            <w:col w:w="10780"/>
          </w:cols>
          <w:pgMar w:left="540" w:top="1349" w:right="560" w:bottom="0" w:gutter="0" w:footer="0" w:header="0"/>
          <w:type w:val="continuous"/>
        </w:sectPr>
      </w:pPr>
    </w:p>
    <w:bookmarkStart w:id="129" w:name="page130"/>
    <w:bookmarkEnd w:id="129"/>
    <w:p>
      <w:pPr>
        <w:ind w:left="360" w:hanging="360"/>
        <w:spacing w:after="0"/>
        <w:tabs>
          <w:tab w:leader="none" w:pos="360"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Indicates a management contract or compensatory plan.</w:t>
      </w:r>
    </w:p>
    <w:p>
      <w:pPr>
        <w:sectPr>
          <w:pgSz w:w="11880" w:h="15480" w:orient="portrait"/>
          <w:cols w:equalWidth="0" w:num="1">
            <w:col w:w="9900"/>
          </w:cols>
          <w:pgMar w:left="540" w:top="134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126</w:t>
      </w:r>
    </w:p>
    <w:p>
      <w:pPr>
        <w:sectPr>
          <w:pgSz w:w="11880" w:h="15480" w:orient="portrait"/>
          <w:cols w:equalWidth="0" w:num="1">
            <w:col w:w="9900"/>
          </w:cols>
          <w:pgMar w:left="540" w:top="1349" w:right="1440" w:bottom="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ind w:right="40" w:firstLine="36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duly authorized.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30, 2026</w:t>
      </w:r>
    </w:p>
    <w:p>
      <w:pPr>
        <w:spacing w:after="0" w:line="24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AEON BIOPHARMA, INC.</w:t>
      </w:r>
    </w:p>
    <w:p>
      <w:pPr>
        <w:spacing w:after="0" w:line="244" w:lineRule="exact"/>
        <w:rPr>
          <w:sz w:val="20"/>
          <w:szCs w:val="20"/>
          <w:color w:val="auto"/>
        </w:rPr>
      </w:pPr>
    </w:p>
    <w:p>
      <w:pPr>
        <w:ind w:left="5400"/>
        <w:spacing w:after="0"/>
        <w:tabs>
          <w:tab w:leader="none" w:pos="5940" w:val="left"/>
        </w:tabs>
        <w:rPr>
          <w:sz w:val="20"/>
          <w:szCs w:val="20"/>
          <w:color w:val="auto"/>
        </w:rPr>
      </w:pPr>
      <w:r>
        <w:rPr>
          <w:rFonts w:ascii="Times New Roman" w:cs="Times New Roman" w:eastAsia="Times New Roman" w:hAnsi="Times New Roman"/>
          <w:sz w:val="20"/>
          <w:szCs w:val="20"/>
          <w:color w:val="auto"/>
        </w:rPr>
        <w:t>By:</w:t>
        <w:tab/>
        <w:t>/s/ Robert Bancroft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3780155</wp:posOffset>
                </wp:positionH>
                <wp:positionV relativeFrom="paragraph">
                  <wp:posOffset>16510</wp:posOffset>
                </wp:positionV>
                <wp:extent cx="307784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7784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65pt,1.3pt" to="540pt,1.3pt" o:allowincell="f" strokecolor="#000000" strokeweight="0.7199pt"/>
            </w:pict>
          </mc:Fallback>
        </mc:AlternateContent>
      </w:r>
    </w:p>
    <w:p>
      <w:pPr>
        <w:spacing w:after="0" w:line="1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Name: Robert Bancroft</w:t>
      </w:r>
    </w:p>
    <w:p>
      <w:pPr>
        <w:spacing w:after="0" w:line="6" w:lineRule="exact"/>
        <w:rPr>
          <w:sz w:val="20"/>
          <w:szCs w:val="20"/>
          <w:color w:val="auto"/>
        </w:rPr>
      </w:pPr>
    </w:p>
    <w:p>
      <w:pPr>
        <w:ind w:left="5400"/>
        <w:spacing w:after="0"/>
        <w:tabs>
          <w:tab w:leader="none" w:pos="5980" w:val="left"/>
        </w:tabs>
        <w:rPr>
          <w:sz w:val="20"/>
          <w:szCs w:val="20"/>
          <w:color w:val="auto"/>
        </w:rPr>
      </w:pPr>
      <w:r>
        <w:rPr>
          <w:rFonts w:ascii="Times New Roman" w:cs="Times New Roman" w:eastAsia="Times New Roman" w:hAnsi="Times New Roman"/>
          <w:sz w:val="20"/>
          <w:szCs w:val="20"/>
          <w:color w:val="auto"/>
        </w:rPr>
        <w:t>Title:</w:t>
        <w:tab/>
        <w:t>President and Chief Executive Officer</w:t>
      </w:r>
    </w:p>
    <w:p>
      <w:pPr>
        <w:ind w:left="596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12" w:lineRule="exact"/>
        <w:rPr>
          <w:sz w:val="20"/>
          <w:szCs w:val="20"/>
          <w:color w:val="auto"/>
        </w:rPr>
      </w:pPr>
    </w:p>
    <w:p>
      <w:pPr>
        <w:ind w:left="5400"/>
        <w:spacing w:after="0"/>
        <w:tabs>
          <w:tab w:leader="none" w:pos="5940" w:val="left"/>
        </w:tabs>
        <w:rPr>
          <w:sz w:val="20"/>
          <w:szCs w:val="20"/>
          <w:color w:val="auto"/>
        </w:rPr>
      </w:pPr>
      <w:r>
        <w:rPr>
          <w:rFonts w:ascii="Times New Roman" w:cs="Times New Roman" w:eastAsia="Times New Roman" w:hAnsi="Times New Roman"/>
          <w:sz w:val="20"/>
          <w:szCs w:val="20"/>
          <w:color w:val="auto"/>
        </w:rPr>
        <w:t>By:</w:t>
        <w:tab/>
        <w:t>/s/ Jennifer Sy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3780155</wp:posOffset>
                </wp:positionH>
                <wp:positionV relativeFrom="paragraph">
                  <wp:posOffset>16510</wp:posOffset>
                </wp:positionV>
                <wp:extent cx="307784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7784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65pt,1.3pt" to="540pt,1.3pt" o:allowincell="f" strokecolor="#000000" strokeweight="0.72pt"/>
            </w:pict>
          </mc:Fallback>
        </mc:AlternateContent>
      </w:r>
    </w:p>
    <w:p>
      <w:pPr>
        <w:spacing w:after="0" w:line="1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Name: Jennifer Sy</w:t>
      </w:r>
    </w:p>
    <w:p>
      <w:pPr>
        <w:spacing w:after="0" w:line="6" w:lineRule="exact"/>
        <w:rPr>
          <w:sz w:val="20"/>
          <w:szCs w:val="20"/>
          <w:color w:val="auto"/>
        </w:rPr>
      </w:pPr>
    </w:p>
    <w:p>
      <w:pPr>
        <w:ind w:left="5400"/>
        <w:spacing w:after="0"/>
        <w:tabs>
          <w:tab w:leader="none" w:pos="5980" w:val="left"/>
        </w:tabs>
        <w:rPr>
          <w:sz w:val="20"/>
          <w:szCs w:val="20"/>
          <w:color w:val="auto"/>
        </w:rPr>
      </w:pPr>
      <w:r>
        <w:rPr>
          <w:rFonts w:ascii="Times New Roman" w:cs="Times New Roman" w:eastAsia="Times New Roman" w:hAnsi="Times New Roman"/>
          <w:sz w:val="20"/>
          <w:szCs w:val="20"/>
          <w:color w:val="auto"/>
        </w:rPr>
        <w:t>Title:</w:t>
        <w:tab/>
        <w:t>Chief Accounting Officer</w:t>
      </w:r>
    </w:p>
    <w:p>
      <w:pPr>
        <w:ind w:left="596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pacing w:after="0" w:line="1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3" w:lineRule="exact"/>
        <w:rPr>
          <w:sz w:val="20"/>
          <w:szCs w:val="20"/>
          <w:color w:val="auto"/>
        </w:rPr>
      </w:pPr>
    </w:p>
    <w:p>
      <w:pPr>
        <w:ind w:right="80" w:firstLine="360"/>
        <w:spacing w:after="0" w:line="245"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Robert Bancroft as such individual’s true and lawful attorney in fact and agent with full power of substitution, for such individual in any and all capacities, to sign any and all amendments to this Annual Report on Form 10-K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 in fact, proxy and agent, or the individual’s substitute, may lawfully do or cause to be done by virtue hereof.</w:t>
      </w:r>
    </w:p>
    <w:p>
      <w:pPr>
        <w:spacing w:after="0" w:line="203" w:lineRule="exact"/>
        <w:rPr>
          <w:sz w:val="20"/>
          <w:szCs w:val="20"/>
          <w:color w:val="auto"/>
        </w:rPr>
      </w:pPr>
    </w:p>
    <w:p>
      <w:pPr>
        <w:ind w:right="100" w:firstLine="36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Annual Report has been signed below by the following persons on behalf of the registrant and in the capacities and on the dates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320" w:type="dxa"/>
            <w:vAlign w:val="bottom"/>
          </w:tcPr>
          <w:p>
            <w:pPr>
              <w:spacing w:after="0"/>
              <w:rPr>
                <w:sz w:val="22"/>
                <w:szCs w:val="22"/>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340" w:type="dxa"/>
            <w:vAlign w:val="bottom"/>
          </w:tcPr>
          <w:p>
            <w:pPr>
              <w:spacing w:after="0"/>
              <w:rPr>
                <w:sz w:val="22"/>
                <w:szCs w:val="22"/>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450"/>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Robert Bancroft</w:t>
            </w:r>
          </w:p>
        </w:tc>
        <w:tc>
          <w:tcPr>
            <w:tcW w:w="32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President, Chief Executive Officer</w:t>
            </w:r>
          </w:p>
        </w:tc>
        <w:tc>
          <w:tcPr>
            <w:tcW w:w="3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30, 2026</w:t>
            </w:r>
          </w:p>
        </w:tc>
      </w:tr>
      <w:tr>
        <w:trPr>
          <w:trHeight w:val="256"/>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Robert Bancroft</w:t>
            </w:r>
          </w:p>
        </w:tc>
        <w:tc>
          <w:tcPr>
            <w:tcW w:w="320" w:type="dxa"/>
            <w:vAlign w:val="bottom"/>
          </w:tcPr>
          <w:p>
            <w:pPr>
              <w:spacing w:after="0"/>
              <w:rPr>
                <w:sz w:val="22"/>
                <w:szCs w:val="22"/>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c>
          <w:tcPr>
            <w:tcW w:w="34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33"/>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Jennifer Sy</w:t>
            </w:r>
          </w:p>
        </w:tc>
        <w:tc>
          <w:tcPr>
            <w:tcW w:w="32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Accounting Officer</w:t>
            </w:r>
          </w:p>
        </w:tc>
        <w:tc>
          <w:tcPr>
            <w:tcW w:w="3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30, 2026</w:t>
            </w:r>
          </w:p>
        </w:tc>
      </w:tr>
      <w:tr>
        <w:trPr>
          <w:trHeight w:val="256"/>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Jennifer Sy</w:t>
            </w:r>
          </w:p>
        </w:tc>
        <w:tc>
          <w:tcPr>
            <w:tcW w:w="320" w:type="dxa"/>
            <w:vAlign w:val="bottom"/>
          </w:tcPr>
          <w:p>
            <w:pPr>
              <w:spacing w:after="0"/>
              <w:rPr>
                <w:sz w:val="22"/>
                <w:szCs w:val="22"/>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(Principal Financial and Accounting Officer)</w:t>
            </w:r>
          </w:p>
        </w:tc>
        <w:tc>
          <w:tcPr>
            <w:tcW w:w="34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53"/>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Jost Fischer</w:t>
            </w:r>
          </w:p>
        </w:tc>
        <w:tc>
          <w:tcPr>
            <w:tcW w:w="32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Chairman of the Board</w:t>
            </w:r>
          </w:p>
        </w:tc>
        <w:tc>
          <w:tcPr>
            <w:tcW w:w="3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30, 2026</w:t>
            </w:r>
          </w:p>
        </w:tc>
      </w:tr>
      <w:tr>
        <w:trPr>
          <w:trHeight w:val="256"/>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Jost Fischer</w:t>
            </w:r>
          </w:p>
        </w:tc>
        <w:tc>
          <w:tcPr>
            <w:tcW w:w="32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55"/>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Shelley Thunen</w:t>
            </w:r>
          </w:p>
        </w:tc>
        <w:tc>
          <w:tcPr>
            <w:tcW w:w="32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30, 2026</w:t>
            </w:r>
          </w:p>
        </w:tc>
      </w:tr>
      <w:tr>
        <w:trPr>
          <w:trHeight w:val="256"/>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Shelley Thunen</w:t>
            </w:r>
          </w:p>
        </w:tc>
        <w:tc>
          <w:tcPr>
            <w:tcW w:w="32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53"/>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Robert Palmisano</w:t>
            </w:r>
          </w:p>
        </w:tc>
        <w:tc>
          <w:tcPr>
            <w:tcW w:w="32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30, 2026</w:t>
            </w:r>
          </w:p>
        </w:tc>
      </w:tr>
      <w:tr>
        <w:trPr>
          <w:trHeight w:val="256"/>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Robert Palmisano</w:t>
            </w:r>
          </w:p>
        </w:tc>
        <w:tc>
          <w:tcPr>
            <w:tcW w:w="32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53"/>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Eric Carter</w:t>
            </w:r>
          </w:p>
        </w:tc>
        <w:tc>
          <w:tcPr>
            <w:tcW w:w="32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30, 2026</w:t>
            </w:r>
          </w:p>
        </w:tc>
      </w:tr>
      <w:tr>
        <w:trPr>
          <w:trHeight w:val="256"/>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Eric Carter</w:t>
            </w:r>
          </w:p>
        </w:tc>
        <w:tc>
          <w:tcPr>
            <w:tcW w:w="32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0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ectPr>
          <w:pgSz w:w="11880" w:h="15480" w:orient="portrait"/>
          <w:cols w:equalWidth="0" w:num="1">
            <w:col w:w="10800"/>
          </w:cols>
          <w:pgMar w:left="540" w:top="1347" w:right="540" w:bottom="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6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Seongsoo Park</w:t>
            </w:r>
          </w:p>
        </w:tc>
        <w:tc>
          <w:tcPr>
            <w:tcW w:w="4660" w:type="dxa"/>
            <w:vAlign w:val="bottom"/>
          </w:tcPr>
          <w:p>
            <w:pPr>
              <w:ind w:left="2520"/>
              <w:spacing w:after="0"/>
              <w:rPr>
                <w:sz w:val="20"/>
                <w:szCs w:val="20"/>
                <w:color w:val="auto"/>
              </w:rPr>
            </w:pPr>
            <w:r>
              <w:rPr>
                <w:rFonts w:ascii="Times New Roman" w:cs="Times New Roman" w:eastAsia="Times New Roman" w:hAnsi="Times New Roman"/>
                <w:sz w:val="20"/>
                <w:szCs w:val="20"/>
                <w:color w:val="auto"/>
              </w:rPr>
              <w:t>Director</w:t>
            </w:r>
          </w:p>
        </w:tc>
        <w:tc>
          <w:tcPr>
            <w:tcW w:w="2740" w:type="dxa"/>
            <w:vAlign w:val="bottom"/>
          </w:tcPr>
          <w:p>
            <w:pPr>
              <w:ind w:left="1480"/>
              <w:spacing w:after="0"/>
              <w:rPr>
                <w:sz w:val="20"/>
                <w:szCs w:val="20"/>
                <w:color w:val="auto"/>
              </w:rPr>
            </w:pPr>
            <w:r>
              <w:rPr>
                <w:rFonts w:ascii="Times New Roman" w:cs="Times New Roman" w:eastAsia="Times New Roman" w:hAnsi="Times New Roman"/>
                <w:sz w:val="20"/>
                <w:szCs w:val="20"/>
                <w:color w:val="auto"/>
                <w:w w:val="97"/>
              </w:rPr>
              <w:t>March 30, 2026</w:t>
            </w:r>
          </w:p>
        </w:tc>
      </w:tr>
      <w:tr>
        <w:trPr>
          <w:trHeight w:val="256"/>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Seongsoo Park</w:t>
            </w:r>
          </w:p>
        </w:tc>
        <w:tc>
          <w:tcPr>
            <w:tcW w:w="4660" w:type="dxa"/>
            <w:vAlign w:val="bottom"/>
          </w:tcPr>
          <w:p>
            <w:pPr>
              <w:spacing w:after="0"/>
              <w:rPr>
                <w:sz w:val="22"/>
                <w:szCs w:val="22"/>
                <w:color w:val="auto"/>
              </w:rPr>
            </w:pPr>
          </w:p>
        </w:tc>
        <w:tc>
          <w:tcPr>
            <w:tcW w:w="2740" w:type="dxa"/>
            <w:vAlign w:val="bottom"/>
          </w:tcPr>
          <w:p>
            <w:pPr>
              <w:spacing w:after="0"/>
              <w:rPr>
                <w:sz w:val="22"/>
                <w:szCs w:val="22"/>
                <w:color w:val="auto"/>
              </w:rPr>
            </w:pPr>
          </w:p>
        </w:tc>
      </w:tr>
      <w:tr>
        <w:trPr>
          <w:trHeight w:val="453"/>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Marc Forth</w:t>
            </w:r>
          </w:p>
        </w:tc>
        <w:tc>
          <w:tcPr>
            <w:tcW w:w="4660" w:type="dxa"/>
            <w:vAlign w:val="bottom"/>
          </w:tcPr>
          <w:p>
            <w:pPr>
              <w:ind w:left="2520"/>
              <w:spacing w:after="0"/>
              <w:rPr>
                <w:sz w:val="20"/>
                <w:szCs w:val="20"/>
                <w:color w:val="auto"/>
              </w:rPr>
            </w:pPr>
            <w:r>
              <w:rPr>
                <w:rFonts w:ascii="Times New Roman" w:cs="Times New Roman" w:eastAsia="Times New Roman" w:hAnsi="Times New Roman"/>
                <w:sz w:val="20"/>
                <w:szCs w:val="20"/>
                <w:color w:val="auto"/>
              </w:rPr>
              <w:t>Director</w:t>
            </w:r>
          </w:p>
        </w:tc>
        <w:tc>
          <w:tcPr>
            <w:tcW w:w="2740" w:type="dxa"/>
            <w:vAlign w:val="bottom"/>
          </w:tcPr>
          <w:p>
            <w:pPr>
              <w:ind w:left="1480"/>
              <w:spacing w:after="0"/>
              <w:rPr>
                <w:sz w:val="20"/>
                <w:szCs w:val="20"/>
                <w:color w:val="auto"/>
              </w:rPr>
            </w:pPr>
            <w:r>
              <w:rPr>
                <w:rFonts w:ascii="Times New Roman" w:cs="Times New Roman" w:eastAsia="Times New Roman" w:hAnsi="Times New Roman"/>
                <w:sz w:val="20"/>
                <w:szCs w:val="20"/>
                <w:color w:val="auto"/>
                <w:w w:val="97"/>
              </w:rPr>
              <w:t>March 30, 2026</w:t>
            </w:r>
          </w:p>
        </w:tc>
      </w:tr>
      <w:tr>
        <w:trPr>
          <w:trHeight w:val="256"/>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 Forth</w:t>
            </w:r>
          </w:p>
        </w:tc>
        <w:tc>
          <w:tcPr>
            <w:tcW w:w="4660" w:type="dxa"/>
            <w:vAlign w:val="bottom"/>
          </w:tcPr>
          <w:p>
            <w:pPr>
              <w:spacing w:after="0"/>
              <w:rPr>
                <w:sz w:val="22"/>
                <w:szCs w:val="22"/>
                <w:color w:val="auto"/>
              </w:rPr>
            </w:pPr>
          </w:p>
        </w:tc>
        <w:tc>
          <w:tcPr>
            <w:tcW w:w="274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380"/>
          </w:cols>
          <w:pgMar w:left="540" w:top="134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128</w:t>
      </w:r>
    </w:p>
    <w:sectPr>
      <w:pgSz w:w="11880" w:h="15480" w:orient="portrait"/>
      <w:cols w:equalWidth="0" w:num="1">
        <w:col w:w="10380"/>
      </w:cols>
      <w:pgMar w:left="540" w:top="1349" w:right="96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Symbol">
    <w:panose1 w:val="05050102010706020507"/>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lowerLetter"/>
      <w:start w:val="15"/>
    </w:lvl>
  </w:abstractNum>
  <w:abstractNum w:abstractNumId="7">
    <w:nsid w:val="5072367"/>
    <w:multiLevelType w:val="hybridMultilevel"/>
    <w:lvl w:ilvl="0">
      <w:lvlJc w:val="left"/>
      <w:lvlText w:val="•"/>
      <w:numFmt w:val="bullet"/>
      <w:start w:val="1"/>
    </w:lvl>
    <w:lvl w:ilvl="1">
      <w:lvlJc w:val="left"/>
      <w:lvlText w:val="%2"/>
      <w:numFmt w:val="lowerLetter"/>
      <w:start w:val="15"/>
    </w:lvl>
  </w:abstractNum>
  <w:abstractNum w:abstractNumId="8">
    <w:nsid w:val="3804823E"/>
    <w:multiLevelType w:val="hybridMultilevel"/>
    <w:lvl w:ilvl="0">
      <w:lvlJc w:val="left"/>
      <w:lvlText w:val="•"/>
      <w:numFmt w:val="bullet"/>
      <w:start w:val="1"/>
    </w:lvl>
    <w:lvl w:ilvl="1">
      <w:lvlJc w:val="left"/>
      <w:lvlText w:val="%2"/>
      <w:numFmt w:val="lowerLetter"/>
      <w:start w:val="15"/>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1)"/>
      <w:numFmt w:val="lowerRoman"/>
      <w:start w:val="2"/>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1)"/>
      <w:numFmt w:val="lowerLetter"/>
      <w:start w:val="2"/>
    </w:lvl>
  </w:abstractNum>
  <w:abstractNum w:abstractNumId="38">
    <w:nsid w:val="79A1DEAA"/>
    <w:multiLevelType w:val="hybridMultilevel"/>
    <w:lvl w:ilvl="0">
      <w:lvlJc w:val="left"/>
      <w:lvlText w:val="(%1)"/>
      <w:numFmt w:val="lowerLetter"/>
      <w:start w:val="2"/>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1)"/>
      <w:numFmt w:val="lowerRoman"/>
      <w:start w:val="3"/>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5"/>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lowerRoman"/>
      <w:start w:val="1"/>
    </w:lvl>
  </w:abstractNum>
  <w:abstractNum w:abstractNumId="51">
    <w:nsid w:val="235BA861"/>
    <w:multiLevelType w:val="hybridMultilevel"/>
    <w:lvl w:ilvl="0">
      <w:lvlJc w:val="left"/>
      <w:lvlText w:val="(%1)"/>
      <w:numFmt w:val="lowerLetter"/>
      <w:start w:val="2"/>
    </w:lvl>
  </w:abstractNum>
  <w:abstractNum w:abstractNumId="52">
    <w:nsid w:val="47398C89"/>
    <w:multiLevelType w:val="hybridMultilevel"/>
    <w:lvl w:ilvl="0">
      <w:lvlJc w:val="left"/>
      <w:lvlText w:val="(%1)"/>
      <w:numFmt w:val="lowerRoman"/>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lowerRoman"/>
      <w:start w:val="1"/>
    </w:lvl>
  </w:abstractNum>
  <w:abstractNum w:abstractNumId="60">
    <w:nsid w:val="7E0C57B1"/>
    <w:multiLevelType w:val="hybridMultilevel"/>
    <w:lvl w:ilvl="0">
      <w:lvlJc w:val="left"/>
      <w:lvlText w:val="(%1)"/>
      <w:numFmt w:val="lowerLetter"/>
      <w:start w:val="1"/>
    </w:lvl>
    <w:lvl w:ilvl="1">
      <w:lvlJc w:val="left"/>
      <w:lvlText w:val="(%2)"/>
      <w:numFmt w:val="decimal"/>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2026-04-29T18:27:21Z</dcterms:created>
  <dcterms:modified xsi:type="dcterms:W3CDTF">2026-04-29T18:27:21Z</dcterms:modified>
</cp:coreProperties>
</file>