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132715</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132715</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AEON Biopharma,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141605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tbl>
      <w:tblPr>
        <w:tblLayout w:type="fixed"/>
        <w:tblInd w:w="920" w:type="dxa"/>
        <w:tblCellMar>
          <w:top w:w="0" w:type="dxa"/>
          <w:left w:w="0" w:type="dxa"/>
          <w:bottom w:w="0" w:type="dxa"/>
          <w:right w:w="0" w:type="dxa"/>
        </w:tblCellMar>
      </w:tblPr>
      <w:tr>
        <w:trPr>
          <w:trHeight w:val="161"/>
        </w:trPr>
        <w:tc>
          <w:tcPr>
            <w:tcW w:w="3160" w:type="dxa"/>
            <w:vAlign w:val="bottom"/>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001-40021</w:t>
            </w:r>
          </w:p>
        </w:tc>
        <w:tc>
          <w:tcPr>
            <w:tcW w:w="11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85-3940478</w:t>
            </w:r>
          </w:p>
        </w:tc>
        <w:tc>
          <w:tcPr>
            <w:tcW w:w="0" w:type="dxa"/>
            <w:vAlign w:val="bottom"/>
          </w:tcPr>
          <w:p>
            <w:pPr>
              <w:spacing w:after="0"/>
              <w:rPr>
                <w:sz w:val="1"/>
                <w:szCs w:val="1"/>
                <w:color w:val="auto"/>
              </w:rPr>
            </w:pPr>
          </w:p>
        </w:tc>
      </w:tr>
      <w:tr>
        <w:trPr>
          <w:trHeight w:val="146"/>
        </w:trPr>
        <w:tc>
          <w:tcPr>
            <w:tcW w:w="3160" w:type="dxa"/>
            <w:vAlign w:val="bottom"/>
          </w:tcPr>
          <w:p>
            <w:pPr>
              <w:ind w:left="26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100" w:type="dxa"/>
            <w:vAlign w:val="bottom"/>
          </w:tcPr>
          <w:p>
            <w:pPr>
              <w:ind w:left="4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960" w:type="dxa"/>
            <w:vAlign w:val="bottom"/>
            <w:vMerge w:val="restart"/>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48"/>
        </w:trPr>
        <w:tc>
          <w:tcPr>
            <w:tcW w:w="3160" w:type="dxa"/>
            <w:vAlign w:val="bottom"/>
          </w:tcPr>
          <w:p>
            <w:pPr>
              <w:jc w:val="center"/>
              <w:ind w:right="144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6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160" w:type="dxa"/>
            <w:vAlign w:val="bottom"/>
          </w:tcPr>
          <w:p>
            <w:pPr>
              <w:jc w:val="center"/>
              <w:ind w:right="144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00" w:type="dxa"/>
            <w:vAlign w:val="bottom"/>
          </w:tcPr>
          <w:p>
            <w:pPr>
              <w:spacing w:after="0"/>
              <w:rPr>
                <w:sz w:val="16"/>
                <w:szCs w:val="16"/>
                <w:color w:val="auto"/>
              </w:rPr>
            </w:pPr>
          </w:p>
        </w:tc>
        <w:tc>
          <w:tcPr>
            <w:tcW w:w="196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bl>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 Park Plaza</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Suite 1750</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Irvine, CA 92614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(949) 354-6499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161925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0" w:lineRule="exact"/>
        <w:rPr>
          <w:rFonts w:ascii="MS PGothic" w:cs="MS PGothic" w:eastAsia="MS PGothic" w:hAnsi="MS PGothic"/>
          <w:sz w:val="14"/>
          <w:szCs w:val="14"/>
          <w:color w:val="auto"/>
        </w:rPr>
      </w:pPr>
    </w:p>
    <w:p>
      <w:pPr>
        <w:ind w:left="660" w:hanging="328"/>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4" w:lineRule="exact"/>
        <w:rPr>
          <w:rFonts w:ascii="MS PGothic" w:cs="MS PGothic" w:eastAsia="MS PGothic" w:hAnsi="MS PGothic"/>
          <w:sz w:val="14"/>
          <w:szCs w:val="14"/>
          <w:color w:val="auto"/>
        </w:rPr>
      </w:pPr>
    </w:p>
    <w:p>
      <w:pPr>
        <w:ind w:left="660" w:hanging="328"/>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4" w:lineRule="exact"/>
        <w:rPr>
          <w:rFonts w:ascii="MS PGothic" w:cs="MS PGothic" w:eastAsia="MS PGothic" w:hAnsi="MS PGothic"/>
          <w:sz w:val="14"/>
          <w:szCs w:val="14"/>
          <w:color w:val="auto"/>
        </w:rPr>
      </w:pPr>
    </w:p>
    <w:p>
      <w:pPr>
        <w:ind w:left="660" w:hanging="328"/>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184785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361"/>
        </w:trPr>
        <w:tc>
          <w:tcPr>
            <w:tcW w:w="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4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0" w:type="dxa"/>
            <w:vAlign w:val="bottom"/>
          </w:tcPr>
          <w:p>
            <w:pPr>
              <w:spacing w:after="0"/>
              <w:rPr>
                <w:sz w:val="15"/>
                <w:szCs w:val="15"/>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1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jc w:val="center"/>
              <w:ind w:right="328"/>
              <w:spacing w:after="0"/>
              <w:rPr>
                <w:sz w:val="20"/>
                <w:szCs w:val="20"/>
                <w:color w:val="auto"/>
              </w:rPr>
            </w:pPr>
            <w:r>
              <w:rPr>
                <w:rFonts w:ascii="Times New Roman" w:cs="Times New Roman" w:eastAsia="Times New Roman" w:hAnsi="Times New Roman"/>
                <w:sz w:val="14"/>
                <w:szCs w:val="14"/>
                <w:color w:val="auto"/>
              </w:rPr>
              <w:t>AEON</w:t>
            </w:r>
          </w:p>
        </w:tc>
        <w:tc>
          <w:tcPr>
            <w:tcW w:w="1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400" w:type="dxa"/>
            <w:vAlign w:val="bottom"/>
            <w:tcBorders>
              <w:top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rPr>
              <w:t>NYSE American</w:t>
            </w:r>
          </w:p>
        </w:tc>
      </w:tr>
    </w:tbl>
    <w:p>
      <w:pPr>
        <w:spacing w:after="0" w:line="154"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4"/>
          <w:szCs w:val="24"/>
          <w:color w:val="auto"/>
        </w:rPr>
      </w:pPr>
    </w:p>
    <w:p>
      <w:pPr>
        <w:ind w:left="818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8"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610235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95885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78740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20"/>
          </w:cols>
          <w:pgMar w:left="980" w:top="754"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AEON Biopharma, Inc. (the “Company”) held its Annual Meeting of Stockholders on June 17, 2026 (the “Annual Meeting”) as described in the Company’s proxy statement for the Annual Meeting, filed with the Securities and Exchange Commission (the “SEC”) on April 29, 2026 (the “2026 Proxy”). At the Annual Meeting, the stockholders of the Company voted on two proposals as further described in the 2026 Proxy. The final results for each proposal voted on by the stockholders at the Annual Meeting, as certified by the Company’s inspector of elections, are set forth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Proposal 1: The stockholders of the Company elected each of Marc Forth and Seongsoo Park as Class III directors of the Company’s board of directors (the “Class III Directors”) for a three-year term ending at the Annual Meeting of Stockholders to be held in 2029 and until their respective successors have been duly elected and qualified. The voting results with respect to the election of the Class III Directors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00" w:type="dxa"/>
            <w:vAlign w:val="bottom"/>
          </w:tcPr>
          <w:p>
            <w:pPr>
              <w:spacing w:after="0"/>
              <w:rPr>
                <w:sz w:val="21"/>
                <w:szCs w:val="21"/>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Term Expiring</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16"/>
        </w:trPr>
        <w:tc>
          <w:tcPr>
            <w:tcW w:w="1800" w:type="dxa"/>
            <w:vAlign w:val="bottom"/>
            <w:tcBorders>
              <w:top w:val="single" w:sz="8" w:color="auto"/>
            </w:tcBorders>
            <w:shd w:val="clear" w:color="auto" w:fill="DEEAF6"/>
          </w:tcPr>
          <w:p>
            <w:pPr>
              <w:spacing w:after="0"/>
              <w:rPr>
                <w:sz w:val="20"/>
                <w:szCs w:val="20"/>
                <w:color w:val="auto"/>
              </w:rPr>
            </w:pPr>
            <w:r>
              <w:rPr>
                <w:rFonts w:ascii="Times New Roman" w:cs="Times New Roman" w:eastAsia="Times New Roman" w:hAnsi="Times New Roman"/>
                <w:sz w:val="18"/>
                <w:szCs w:val="18"/>
                <w:color w:val="auto"/>
              </w:rPr>
              <w:t>Marc Forth</w:t>
            </w:r>
          </w:p>
        </w:tc>
        <w:tc>
          <w:tcPr>
            <w:tcW w:w="200" w:type="dxa"/>
            <w:vAlign w:val="bottom"/>
            <w:tcBorders>
              <w:top w:val="single" w:sz="8" w:color="DEEAF6"/>
            </w:tcBorders>
            <w:shd w:val="clear" w:color="auto" w:fill="DEEAF6"/>
          </w:tcPr>
          <w:p>
            <w:pPr>
              <w:spacing w:after="0"/>
              <w:rPr>
                <w:sz w:val="18"/>
                <w:szCs w:val="18"/>
                <w:color w:val="auto"/>
              </w:rPr>
            </w:pPr>
          </w:p>
        </w:tc>
        <w:tc>
          <w:tcPr>
            <w:tcW w:w="1800" w:type="dxa"/>
            <w:vAlign w:val="bottom"/>
            <w:tcBorders>
              <w:top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220" w:type="dxa"/>
            <w:vAlign w:val="bottom"/>
            <w:tcBorders>
              <w:top w:val="single" w:sz="8" w:color="DEEAF6"/>
            </w:tcBorders>
            <w:shd w:val="clear" w:color="auto" w:fill="DEEAF6"/>
          </w:tcPr>
          <w:p>
            <w:pPr>
              <w:spacing w:after="0"/>
              <w:rPr>
                <w:sz w:val="18"/>
                <w:szCs w:val="18"/>
                <w:color w:val="auto"/>
              </w:rPr>
            </w:pPr>
          </w:p>
        </w:tc>
        <w:tc>
          <w:tcPr>
            <w:tcW w:w="1800" w:type="dxa"/>
            <w:vAlign w:val="bottom"/>
            <w:tcBorders>
              <w:top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8"/>
              </w:rPr>
              <w:t>13,297,322</w:t>
            </w:r>
          </w:p>
        </w:tc>
        <w:tc>
          <w:tcPr>
            <w:tcW w:w="220" w:type="dxa"/>
            <w:vAlign w:val="bottom"/>
            <w:tcBorders>
              <w:top w:val="single" w:sz="8" w:color="DEEAF6"/>
            </w:tcBorders>
            <w:shd w:val="clear" w:color="auto" w:fill="DEEAF6"/>
          </w:tcPr>
          <w:p>
            <w:pPr>
              <w:spacing w:after="0"/>
              <w:rPr>
                <w:sz w:val="18"/>
                <w:szCs w:val="18"/>
                <w:color w:val="auto"/>
              </w:rPr>
            </w:pPr>
          </w:p>
        </w:tc>
        <w:tc>
          <w:tcPr>
            <w:tcW w:w="1780" w:type="dxa"/>
            <w:vAlign w:val="bottom"/>
            <w:tcBorders>
              <w:top w:val="single" w:sz="8" w:color="auto"/>
            </w:tcBorders>
            <w:shd w:val="clear" w:color="auto" w:fill="DEEAF6"/>
          </w:tcPr>
          <w:p>
            <w:pPr>
              <w:jc w:val="right"/>
              <w:ind w:right="530"/>
              <w:spacing w:after="0"/>
              <w:rPr>
                <w:sz w:val="20"/>
                <w:szCs w:val="20"/>
                <w:color w:val="auto"/>
              </w:rPr>
            </w:pPr>
            <w:r>
              <w:rPr>
                <w:rFonts w:ascii="Times New Roman" w:cs="Times New Roman" w:eastAsia="Times New Roman" w:hAnsi="Times New Roman"/>
                <w:sz w:val="18"/>
                <w:szCs w:val="18"/>
                <w:color w:val="auto"/>
              </w:rPr>
              <w:t>27,738</w:t>
            </w:r>
          </w:p>
        </w:tc>
        <w:tc>
          <w:tcPr>
            <w:tcW w:w="220" w:type="dxa"/>
            <w:vAlign w:val="bottom"/>
            <w:tcBorders>
              <w:top w:val="single" w:sz="8" w:color="DEEAF6"/>
            </w:tcBorders>
            <w:shd w:val="clear" w:color="auto" w:fill="DEEAF6"/>
          </w:tcPr>
          <w:p>
            <w:pPr>
              <w:spacing w:after="0"/>
              <w:rPr>
                <w:sz w:val="18"/>
                <w:szCs w:val="18"/>
                <w:color w:val="auto"/>
              </w:rPr>
            </w:pPr>
          </w:p>
        </w:tc>
        <w:tc>
          <w:tcPr>
            <w:tcW w:w="1880" w:type="dxa"/>
            <w:vAlign w:val="bottom"/>
            <w:tcBorders>
              <w:top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8,197,073</w:t>
            </w:r>
          </w:p>
        </w:tc>
      </w:tr>
      <w:tr>
        <w:trPr>
          <w:trHeight w:val="216"/>
        </w:trPr>
        <w:tc>
          <w:tcPr>
            <w:tcW w:w="1800" w:type="dxa"/>
            <w:vAlign w:val="bottom"/>
            <w:shd w:val="clear" w:color="auto" w:fill="DEEAF6"/>
          </w:tcPr>
          <w:p>
            <w:pPr>
              <w:spacing w:after="0"/>
              <w:rPr>
                <w:sz w:val="20"/>
                <w:szCs w:val="20"/>
                <w:color w:val="auto"/>
              </w:rPr>
            </w:pPr>
            <w:r>
              <w:rPr>
                <w:rFonts w:ascii="Times New Roman" w:cs="Times New Roman" w:eastAsia="Times New Roman" w:hAnsi="Times New Roman"/>
                <w:sz w:val="18"/>
                <w:szCs w:val="18"/>
                <w:color w:val="auto"/>
              </w:rPr>
              <w:t>Seongsoo Park</w:t>
            </w:r>
          </w:p>
        </w:tc>
        <w:tc>
          <w:tcPr>
            <w:tcW w:w="2000" w:type="dxa"/>
            <w:vAlign w:val="bottom"/>
            <w:gridSpan w:val="2"/>
            <w:shd w:val="clear" w:color="auto" w:fill="DEEAF6"/>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2029</w:t>
            </w:r>
          </w:p>
        </w:tc>
        <w:tc>
          <w:tcPr>
            <w:tcW w:w="220" w:type="dxa"/>
            <w:vAlign w:val="bottom"/>
            <w:shd w:val="clear" w:color="auto" w:fill="DEEAF6"/>
          </w:tcPr>
          <w:p>
            <w:pPr>
              <w:spacing w:after="0"/>
              <w:rPr>
                <w:sz w:val="18"/>
                <w:szCs w:val="18"/>
                <w:color w:val="auto"/>
              </w:rPr>
            </w:pPr>
          </w:p>
        </w:tc>
        <w:tc>
          <w:tcPr>
            <w:tcW w:w="180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8"/>
              </w:rPr>
              <w:t>13,117,299</w:t>
            </w:r>
          </w:p>
        </w:tc>
        <w:tc>
          <w:tcPr>
            <w:tcW w:w="220" w:type="dxa"/>
            <w:vAlign w:val="bottom"/>
            <w:shd w:val="clear" w:color="auto" w:fill="DEEAF6"/>
          </w:tcPr>
          <w:p>
            <w:pPr>
              <w:spacing w:after="0"/>
              <w:rPr>
                <w:sz w:val="18"/>
                <w:szCs w:val="18"/>
                <w:color w:val="auto"/>
              </w:rPr>
            </w:pPr>
          </w:p>
        </w:tc>
        <w:tc>
          <w:tcPr>
            <w:tcW w:w="1780" w:type="dxa"/>
            <w:vAlign w:val="bottom"/>
            <w:shd w:val="clear" w:color="auto" w:fill="DEEAF6"/>
          </w:tcPr>
          <w:p>
            <w:pPr>
              <w:jc w:val="right"/>
              <w:ind w:right="490"/>
              <w:spacing w:after="0"/>
              <w:rPr>
                <w:sz w:val="20"/>
                <w:szCs w:val="20"/>
                <w:color w:val="auto"/>
              </w:rPr>
            </w:pPr>
            <w:r>
              <w:rPr>
                <w:rFonts w:ascii="Times New Roman" w:cs="Times New Roman" w:eastAsia="Times New Roman" w:hAnsi="Times New Roman"/>
                <w:sz w:val="18"/>
                <w:szCs w:val="18"/>
                <w:color w:val="auto"/>
              </w:rPr>
              <w:t>207,761</w:t>
            </w:r>
          </w:p>
        </w:tc>
        <w:tc>
          <w:tcPr>
            <w:tcW w:w="220" w:type="dxa"/>
            <w:vAlign w:val="bottom"/>
            <w:shd w:val="clear" w:color="auto" w:fill="DEEAF6"/>
          </w:tcPr>
          <w:p>
            <w:pPr>
              <w:spacing w:after="0"/>
              <w:rPr>
                <w:sz w:val="18"/>
                <w:szCs w:val="18"/>
                <w:color w:val="auto"/>
              </w:rPr>
            </w:pPr>
          </w:p>
        </w:tc>
        <w:tc>
          <w:tcPr>
            <w:tcW w:w="188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8,197,073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2: The stockholders of the Company ratified the appointment of KPMG LLP as the Company’s independent registered public accounting firm for the fiscal year ended December 31, 2026. The voting results for this proposal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16"/>
        </w:trPr>
        <w:tc>
          <w:tcPr>
            <w:tcW w:w="2280" w:type="dxa"/>
            <w:vAlign w:val="bottom"/>
            <w:tcBorders>
              <w:top w:val="single" w:sz="8" w:color="auto"/>
            </w:tcBorders>
            <w:shd w:val="clear" w:color="auto" w:fill="DEEAF6"/>
          </w:tcPr>
          <w:p>
            <w:pPr>
              <w:jc w:val="right"/>
              <w:ind w:right="630"/>
              <w:spacing w:after="0"/>
              <w:rPr>
                <w:sz w:val="20"/>
                <w:szCs w:val="20"/>
                <w:color w:val="auto"/>
              </w:rPr>
            </w:pPr>
            <w:r>
              <w:rPr>
                <w:rFonts w:ascii="Times New Roman" w:cs="Times New Roman" w:eastAsia="Times New Roman" w:hAnsi="Times New Roman"/>
                <w:sz w:val="18"/>
                <w:szCs w:val="18"/>
                <w:color w:val="auto"/>
              </w:rPr>
              <w:t>21,502,418</w:t>
            </w:r>
          </w:p>
        </w:tc>
        <w:tc>
          <w:tcPr>
            <w:tcW w:w="260" w:type="dxa"/>
            <w:vAlign w:val="bottom"/>
            <w:tcBorders>
              <w:top w:val="single" w:sz="8" w:color="DEEAF6"/>
            </w:tcBorders>
            <w:shd w:val="clear" w:color="auto" w:fill="DEEAF6"/>
          </w:tcPr>
          <w:p>
            <w:pPr>
              <w:spacing w:after="0"/>
              <w:rPr>
                <w:sz w:val="18"/>
                <w:szCs w:val="18"/>
                <w:color w:val="auto"/>
              </w:rPr>
            </w:pPr>
          </w:p>
        </w:tc>
        <w:tc>
          <w:tcPr>
            <w:tcW w:w="2280" w:type="dxa"/>
            <w:vAlign w:val="bottom"/>
            <w:tcBorders>
              <w:top w:val="single" w:sz="8" w:color="auto"/>
            </w:tcBorders>
            <w:shd w:val="clear" w:color="auto" w:fill="DEEAF6"/>
          </w:tcPr>
          <w:p>
            <w:pPr>
              <w:jc w:val="right"/>
              <w:ind w:right="770"/>
              <w:spacing w:after="0"/>
              <w:rPr>
                <w:sz w:val="20"/>
                <w:szCs w:val="20"/>
                <w:color w:val="auto"/>
              </w:rPr>
            </w:pPr>
            <w:r>
              <w:rPr>
                <w:rFonts w:ascii="Times New Roman" w:cs="Times New Roman" w:eastAsia="Times New Roman" w:hAnsi="Times New Roman"/>
                <w:sz w:val="18"/>
                <w:szCs w:val="18"/>
                <w:color w:val="auto"/>
              </w:rPr>
              <w:t>18,217</w:t>
            </w:r>
          </w:p>
        </w:tc>
        <w:tc>
          <w:tcPr>
            <w:tcW w:w="260" w:type="dxa"/>
            <w:vAlign w:val="bottom"/>
            <w:tcBorders>
              <w:top w:val="single" w:sz="8" w:color="DEEAF6"/>
            </w:tcBorders>
            <w:shd w:val="clear" w:color="auto" w:fill="DEEAF6"/>
          </w:tcPr>
          <w:p>
            <w:pPr>
              <w:spacing w:after="0"/>
              <w:rPr>
                <w:sz w:val="18"/>
                <w:szCs w:val="18"/>
                <w:color w:val="auto"/>
              </w:rPr>
            </w:pPr>
          </w:p>
        </w:tc>
        <w:tc>
          <w:tcPr>
            <w:tcW w:w="2280" w:type="dxa"/>
            <w:vAlign w:val="bottom"/>
            <w:tcBorders>
              <w:top w:val="single" w:sz="8" w:color="auto"/>
            </w:tcBorders>
            <w:shd w:val="clear" w:color="auto" w:fill="DEEAF6"/>
          </w:tcPr>
          <w:p>
            <w:pPr>
              <w:jc w:val="right"/>
              <w:ind w:right="830"/>
              <w:spacing w:after="0"/>
              <w:rPr>
                <w:sz w:val="20"/>
                <w:szCs w:val="20"/>
                <w:color w:val="auto"/>
              </w:rPr>
            </w:pPr>
            <w:r>
              <w:rPr>
                <w:rFonts w:ascii="Times New Roman" w:cs="Times New Roman" w:eastAsia="Times New Roman" w:hAnsi="Times New Roman"/>
                <w:sz w:val="18"/>
                <w:szCs w:val="18"/>
                <w:color w:val="auto"/>
              </w:rPr>
              <w:t>1,498</w:t>
            </w:r>
          </w:p>
        </w:tc>
        <w:tc>
          <w:tcPr>
            <w:tcW w:w="260" w:type="dxa"/>
            <w:vAlign w:val="bottom"/>
            <w:tcBorders>
              <w:top w:val="single" w:sz="8" w:color="DEEAF6"/>
            </w:tcBorders>
            <w:shd w:val="clear" w:color="auto" w:fill="DEEAF6"/>
          </w:tcPr>
          <w:p>
            <w:pPr>
              <w:spacing w:after="0"/>
              <w:rPr>
                <w:sz w:val="18"/>
                <w:szCs w:val="18"/>
                <w:color w:val="auto"/>
              </w:rPr>
            </w:pPr>
          </w:p>
        </w:tc>
        <w:tc>
          <w:tcPr>
            <w:tcW w:w="2300" w:type="dxa"/>
            <w:vAlign w:val="bottom"/>
            <w:tcBorders>
              <w:top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395"/>
        </w:trPr>
        <w:tc>
          <w:tcPr>
            <w:tcW w:w="2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672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AEON Biopharma, Inc.</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67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Robert Bancroft</w:t>
            </w:r>
          </w:p>
        </w:tc>
      </w:tr>
      <w:tr>
        <w:trPr>
          <w:trHeight w:val="191"/>
        </w:trPr>
        <w:tc>
          <w:tcPr>
            <w:tcW w:w="3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Bancroft</w:t>
            </w:r>
          </w:p>
        </w:tc>
      </w:tr>
      <w:tr>
        <w:trPr>
          <w:trHeight w:val="234"/>
        </w:trPr>
        <w:tc>
          <w:tcPr>
            <w:tcW w:w="3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03"/>
        </w:trPr>
        <w:tc>
          <w:tcPr>
            <w:tcW w:w="3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2026-06-17T15:10:28Z</dcterms:created>
  <dcterms:modified xsi:type="dcterms:W3CDTF">2026-06-17T15:10:28Z</dcterms:modified>
</cp:coreProperties>
</file>