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132080</wp:posOffset>
            </wp:positionH>
            <wp:positionV relativeFrom="paragraph">
              <wp:posOffset>585470</wp:posOffset>
            </wp:positionV>
            <wp:extent cx="545592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5920" cy="3175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624840</wp:posOffset>
            </wp:positionV>
            <wp:extent cx="5455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59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SCHEDULE 14A</w:t>
      </w:r>
    </w:p>
    <w:p>
      <w:pPr>
        <w:spacing w:after="0" w:line="209" w:lineRule="exact"/>
        <w:rPr>
          <w:sz w:val="24"/>
          <w:szCs w:val="24"/>
          <w:color w:val="auto"/>
        </w:rPr>
      </w:pPr>
    </w:p>
    <w:p>
      <w:pPr>
        <w:ind w:left="3760"/>
        <w:spacing w:after="0"/>
        <w:rPr>
          <w:sz w:val="20"/>
          <w:szCs w:val="20"/>
          <w:color w:val="auto"/>
        </w:rPr>
      </w:pPr>
      <w:r>
        <w:rPr>
          <w:rFonts w:ascii="Arial" w:cs="Arial" w:eastAsia="Arial" w:hAnsi="Arial"/>
          <w:sz w:val="20"/>
          <w:szCs w:val="20"/>
          <w:b w:val="1"/>
          <w:bCs w:val="1"/>
          <w:color w:val="auto"/>
        </w:rPr>
        <w:t>(RULE 14a-101)</w:t>
      </w:r>
    </w:p>
    <w:p>
      <w:pPr>
        <w:spacing w:after="0" w:line="96" w:lineRule="exact"/>
        <w:rPr>
          <w:sz w:val="24"/>
          <w:szCs w:val="24"/>
          <w:color w:val="auto"/>
        </w:rPr>
      </w:pPr>
    </w:p>
    <w:p>
      <w:pPr>
        <w:ind w:left="218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ectPr>
          <w:pgSz w:w="11900" w:h="16838" w:orient="portrait"/>
          <w:cols w:equalWidth="0" w:num="1">
            <w:col w:w="9019"/>
          </w:cols>
          <w:pgMar w:left="1440" w:top="626" w:right="1440" w:bottom="1440" w:gutter="0" w:footer="0" w:header="0"/>
        </w:sectPr>
      </w:pPr>
    </w:p>
    <w:p>
      <w:pPr>
        <w:spacing w:after="0" w:line="160" w:lineRule="exact"/>
        <w:rPr>
          <w:sz w:val="24"/>
          <w:szCs w:val="24"/>
          <w:color w:val="auto"/>
        </w:rPr>
      </w:pPr>
    </w:p>
    <w:p>
      <w:pPr>
        <w:ind w:left="220"/>
        <w:spacing w:after="0"/>
        <w:tabs>
          <w:tab w:leader="none" w:pos="12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67" w:lineRule="exact"/>
        <w:rPr>
          <w:sz w:val="24"/>
          <w:szCs w:val="24"/>
          <w:color w:val="auto"/>
        </w:rPr>
      </w:pPr>
    </w:p>
    <w:p>
      <w:pPr>
        <w:sectPr>
          <w:pgSz w:w="11900" w:h="16838" w:orient="portrait"/>
          <w:cols w:equalWidth="0" w:num="3">
            <w:col w:w="3260" w:space="720"/>
            <w:col w:w="160" w:space="460"/>
            <w:col w:w="4419"/>
          </w:cols>
          <w:pgMar w:left="1440" w:top="626" w:right="1440"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9019"/>
          </w:cols>
          <w:pgMar w:left="1440" w:top="626" w:right="1440" w:bottom="1440" w:gutter="0" w:footer="0" w:header="0"/>
          <w:type w:val="continuous"/>
        </w:sectPr>
      </w:pPr>
    </w:p>
    <w:p>
      <w:pPr>
        <w:spacing w:after="0" w:line="54" w:lineRule="exact"/>
        <w:rPr>
          <w:sz w:val="24"/>
          <w:szCs w:val="24"/>
          <w:color w:val="auto"/>
        </w:rPr>
      </w:pPr>
    </w:p>
    <w:p>
      <w:pPr>
        <w:ind w:left="880" w:hanging="656"/>
        <w:spacing w:after="0"/>
        <w:tabs>
          <w:tab w:leader="none" w:pos="8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55" w:lineRule="exact"/>
        <w:rPr>
          <w:rFonts w:ascii="MS PGothic" w:cs="MS PGothic" w:eastAsia="MS PGothic" w:hAnsi="MS PGothic"/>
          <w:sz w:val="17"/>
          <w:szCs w:val="17"/>
          <w:color w:val="auto"/>
        </w:rPr>
      </w:pPr>
    </w:p>
    <w:p>
      <w:pPr>
        <w:ind w:left="880" w:hanging="656"/>
        <w:spacing w:after="0"/>
        <w:tabs>
          <w:tab w:leader="none" w:pos="8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47" w:lineRule="exact"/>
        <w:rPr>
          <w:rFonts w:ascii="MS PGothic" w:cs="MS PGothic" w:eastAsia="MS PGothic" w:hAnsi="MS PGothic"/>
          <w:sz w:val="17"/>
          <w:szCs w:val="17"/>
          <w:color w:val="auto"/>
        </w:rPr>
      </w:pPr>
    </w:p>
    <w:p>
      <w:pPr>
        <w:ind w:left="22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6"/>
          <w:szCs w:val="16"/>
          <w:color w:val="auto"/>
        </w:rPr>
        <w:t>Definitive Proxy Statement</w:t>
      </w:r>
    </w:p>
    <w:p>
      <w:pPr>
        <w:spacing w:after="0" w:line="62" w:lineRule="exact"/>
        <w:rPr>
          <w:rFonts w:ascii="MS PGothic" w:cs="MS PGothic" w:eastAsia="MS PGothic" w:hAnsi="MS PGothic"/>
          <w:sz w:val="17"/>
          <w:szCs w:val="17"/>
          <w:color w:val="auto"/>
        </w:rPr>
      </w:pPr>
    </w:p>
    <w:p>
      <w:pPr>
        <w:ind w:left="880" w:hanging="656"/>
        <w:spacing w:after="0"/>
        <w:tabs>
          <w:tab w:leader="none" w:pos="8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55" w:lineRule="exact"/>
        <w:rPr>
          <w:rFonts w:ascii="MS PGothic" w:cs="MS PGothic" w:eastAsia="MS PGothic" w:hAnsi="MS PGothic"/>
          <w:sz w:val="17"/>
          <w:szCs w:val="17"/>
          <w:color w:val="auto"/>
        </w:rPr>
      </w:pPr>
    </w:p>
    <w:p>
      <w:pPr>
        <w:ind w:left="880" w:hanging="656"/>
        <w:spacing w:after="0"/>
        <w:tabs>
          <w:tab w:leader="none" w:pos="8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33"/>
          <w:szCs w:val="33"/>
          <w:b w:val="1"/>
          <w:bCs w:val="1"/>
          <w:color w:val="auto"/>
        </w:rPr>
        <w:t>AEON Biopharma, Inc.</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80" w:lineRule="exact"/>
        <w:rPr>
          <w:sz w:val="24"/>
          <w:szCs w:val="24"/>
          <w:color w:val="auto"/>
        </w:rPr>
      </w:pPr>
    </w:p>
    <w:p>
      <w:pPr>
        <w:ind w:left="162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327" w:lineRule="exact"/>
        <w:rPr>
          <w:sz w:val="24"/>
          <w:szCs w:val="24"/>
          <w:color w:val="auto"/>
        </w:rPr>
      </w:pPr>
    </w:p>
    <w:p>
      <w:pPr>
        <w:ind w:left="220"/>
        <w:spacing w:after="0"/>
        <w:rPr>
          <w:sz w:val="20"/>
          <w:szCs w:val="20"/>
          <w:color w:val="auto"/>
        </w:rPr>
      </w:pPr>
      <w:r>
        <w:rPr>
          <w:rFonts w:ascii="Arial" w:cs="Arial" w:eastAsia="Arial" w:hAnsi="Arial"/>
          <w:sz w:val="17"/>
          <w:szCs w:val="17"/>
          <w:color w:val="auto"/>
        </w:rPr>
        <w:t>Payment of Filing Fee (Check all boxes that apply):</w:t>
      </w:r>
    </w:p>
    <w:p>
      <w:pPr>
        <w:spacing w:after="0" w:line="143" w:lineRule="exact"/>
        <w:rPr>
          <w:sz w:val="24"/>
          <w:szCs w:val="24"/>
          <w:color w:val="auto"/>
        </w:rPr>
      </w:pPr>
    </w:p>
    <w:p>
      <w:pPr>
        <w:ind w:left="1440" w:hanging="1216"/>
        <w:spacing w:after="0"/>
        <w:tabs>
          <w:tab w:leader="none" w:pos="14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55" w:lineRule="exact"/>
        <w:rPr>
          <w:sz w:val="24"/>
          <w:szCs w:val="24"/>
          <w:color w:val="auto"/>
        </w:rPr>
      </w:pPr>
    </w:p>
    <w:p>
      <w:pPr>
        <w:ind w:left="1440" w:hanging="1216"/>
        <w:spacing w:after="0"/>
        <w:tabs>
          <w:tab w:leader="none" w:pos="14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55" w:lineRule="exact"/>
        <w:rPr>
          <w:rFonts w:ascii="MS PGothic" w:cs="MS PGothic" w:eastAsia="MS PGothic" w:hAnsi="MS PGothic"/>
          <w:sz w:val="17"/>
          <w:szCs w:val="17"/>
          <w:color w:val="auto"/>
        </w:rPr>
      </w:pPr>
    </w:p>
    <w:p>
      <w:pPr>
        <w:ind w:left="1440" w:right="299" w:hanging="1216"/>
        <w:spacing w:after="0" w:line="186" w:lineRule="auto"/>
        <w:tabs>
          <w:tab w:leader="none" w:pos="1440" w:val="left"/>
        </w:tabs>
        <w:numPr>
          <w:ilvl w:val="0"/>
          <w:numId w:val="3"/>
        </w:numPr>
        <w:rPr>
          <w:rFonts w:ascii="MS PGothic" w:cs="MS PGothic" w:eastAsia="MS PGothic" w:hAnsi="MS PGothic"/>
          <w:sz w:val="33"/>
          <w:szCs w:val="33"/>
          <w:color w:val="auto"/>
          <w:vertAlign w:val="subscript"/>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132080</wp:posOffset>
            </wp:positionH>
            <wp:positionV relativeFrom="paragraph">
              <wp:posOffset>913130</wp:posOffset>
            </wp:positionV>
            <wp:extent cx="5455920"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5920" cy="2413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189230</wp:posOffset>
            </wp:positionV>
            <wp:extent cx="5455920"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5920" cy="3175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173355</wp:posOffset>
            </wp:positionV>
            <wp:extent cx="545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5920" cy="825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1" w:name="page2"/>
    <w:bookmarkEnd w:id="1"/>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585470</wp:posOffset>
            </wp:positionV>
            <wp:extent cx="1829435" cy="763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94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SPECIAL MEETING OF STOCKHOLDERS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BE HELD ON TUESDAY, DECEMBER 15, 2026</w:t>
      </w: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Dear Fellow Stockholders:</w:t>
      </w:r>
    </w:p>
    <w:p>
      <w:pPr>
        <w:spacing w:after="0" w:line="180"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On behalf of our Board of Directors (the “Board”) and management, I am pleased to invite you to the Special Meeting of Stockholders (the “Special Meeting”) of AEON Biopharma, Inc. (“AEON,” “we” or the “Company”), which will be held on Tuesday, December 15, 2026, at 1:00 p.m. Pacific Time, at 130 Vantis Dr., Suite 170, Aliso Viejo, CA 92656. We are holding the Special Meeting to consider three substantive proposals concerning reverse stock split authority and limited-purpose amendments to our equity incentive plan and our employee stock purchase plan, together with a procedural adjournment proposal.</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Special Meeting will be held for the following purposes:</w:t>
      </w:r>
    </w:p>
    <w:p>
      <w:pPr>
        <w:spacing w:after="0" w:line="93" w:lineRule="exact"/>
        <w:rPr>
          <w:sz w:val="20"/>
          <w:szCs w:val="20"/>
          <w:color w:val="auto"/>
        </w:rPr>
      </w:pPr>
    </w:p>
    <w:p>
      <w:pPr>
        <w:jc w:val="both"/>
        <w:ind w:left="720" w:right="219" w:hanging="217"/>
        <w:spacing w:after="0" w:line="238" w:lineRule="auto"/>
        <w:tabs>
          <w:tab w:leader="none" w:pos="69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authorize the Board to amend our Third Amended and Restated Certificate of Incorporation, as amended (the “Certificate of Incorporation”), to effect one reverse stock split of our Class A common stock, par value $0.0001 per share (the “Common Stock”), at a ratio from 1-for-2 through 1-for-100 selected by the Board, during the 12 months following stockholder approval, subject to the Compliance Condition described below, with authority to abandon the reverse stock split (the “Reverse Stock Split Proposal”).</w:t>
      </w:r>
    </w:p>
    <w:p>
      <w:pPr>
        <w:spacing w:after="0" w:line="70" w:lineRule="exact"/>
        <w:rPr>
          <w:rFonts w:ascii="Arial" w:cs="Arial" w:eastAsia="Arial" w:hAnsi="Arial"/>
          <w:sz w:val="17"/>
          <w:szCs w:val="17"/>
          <w:color w:val="auto"/>
        </w:rPr>
      </w:pPr>
    </w:p>
    <w:p>
      <w:pPr>
        <w:jc w:val="both"/>
        <w:ind w:left="720" w:right="219" w:hanging="217"/>
        <w:spacing w:after="0" w:line="241" w:lineRule="auto"/>
        <w:tabs>
          <w:tab w:leader="none" w:pos="685"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amendment to the Company's Amended and Restated 2023 Incentive Award Plan (the “Plan”) solely to include shares underlying outstanding pre-funded warrants, as defined in the amended Plan, in fully-diluted shares for the annual evergreen calculation, while continuing to exclude shares underlying other outstanding warrants (the “Equity Plan Proposal”).</w:t>
      </w:r>
    </w:p>
    <w:p>
      <w:pPr>
        <w:spacing w:after="0" w:line="66" w:lineRule="exact"/>
        <w:rPr>
          <w:rFonts w:ascii="Arial" w:cs="Arial" w:eastAsia="Arial" w:hAnsi="Arial"/>
          <w:sz w:val="17"/>
          <w:szCs w:val="17"/>
          <w:color w:val="auto"/>
        </w:rPr>
      </w:pPr>
    </w:p>
    <w:p>
      <w:pPr>
        <w:jc w:val="both"/>
        <w:ind w:left="720" w:right="219" w:hanging="217"/>
        <w:spacing w:after="0" w:line="241" w:lineRule="auto"/>
        <w:tabs>
          <w:tab w:leader="none" w:pos="723"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amendment to the Company's 2023 Employee Stock Purchase Plan (as amended and restated, the “ESPP”) solely to include shares underlying outstanding pre-funded warrants, as defined in the ESPP, in fully-diluted shares for the annual evergreen calculation, while continuing to exclude shares underlying other outstanding warrants (the “ESPP Proposal”).</w:t>
      </w:r>
    </w:p>
    <w:p>
      <w:pPr>
        <w:spacing w:after="0" w:line="66" w:lineRule="exact"/>
        <w:rPr>
          <w:rFonts w:ascii="Arial" w:cs="Arial" w:eastAsia="Arial" w:hAnsi="Arial"/>
          <w:sz w:val="17"/>
          <w:szCs w:val="17"/>
          <w:color w:val="auto"/>
        </w:rPr>
      </w:pPr>
    </w:p>
    <w:p>
      <w:pPr>
        <w:ind w:left="720" w:right="219" w:hanging="217"/>
        <w:spacing w:after="0" w:line="262" w:lineRule="auto"/>
        <w:tabs>
          <w:tab w:leader="none" w:pos="683"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one or more adjournments of the Special Meeting, if necessary or appropriate, to solicit additional proxies if any substantive proposal lacks sufficient votes (the “Adjournment Proposal”).</w:t>
      </w:r>
    </w:p>
    <w:p>
      <w:pPr>
        <w:spacing w:after="0" w:line="49"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The “Compliance Condition” requires that the Board may not effect the reverse stock split unless and until the reverse stock split complies with applicable laws, rules and regulations, including the applicable rules and requirements of NYSE American LLC (the “Exchange”). These include the Exchange’s cumulative-ratio limit, which takes into account the Company’s prior 1-for-72 reverse stock split, effective on February 26, 2025, and any other reverse stock splits within the then-applicable lookback period, and the Exchange’s continued listing standards. While the prior split remains within the lookback, the permissible ratio will be limited accordingly. A stricter rule will reduce the permissible maximum; a relaxation will not increase the stockholder-approved maximum of 1-for-100. Approval does not require implementation. The authority expires immediately before the first anniversary of stockholder approval.</w:t>
      </w:r>
    </w:p>
    <w:p>
      <w:pPr>
        <w:spacing w:after="0" w:line="68"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7"/>
          <w:szCs w:val="17"/>
          <w:color w:val="auto"/>
        </w:rPr>
        <w:t xml:space="preserve">The proposals are not conditioned on one another. Each is more fully described in the accompanying Proxy Statement, which we encourage you to read carefully and in its entirety. </w:t>
      </w:r>
      <w:r>
        <w:rPr>
          <w:rFonts w:ascii="Arial" w:cs="Arial" w:eastAsia="Arial" w:hAnsi="Arial"/>
          <w:sz w:val="17"/>
          <w:szCs w:val="17"/>
          <w:b w:val="1"/>
          <w:bCs w:val="1"/>
          <w:color w:val="auto"/>
        </w:rPr>
        <w:t>The Board recommends that you vote</w:t>
      </w:r>
      <w:r>
        <w:rPr>
          <w:rFonts w:ascii="Arial" w:cs="Arial" w:eastAsia="Arial" w:hAnsi="Arial"/>
          <w:sz w:val="17"/>
          <w:szCs w:val="17"/>
          <w:color w:val="auto"/>
        </w:rPr>
        <w:t xml:space="preserve"> </w:t>
      </w:r>
      <w:r>
        <w:rPr>
          <w:rFonts w:ascii="Arial" w:cs="Arial" w:eastAsia="Arial" w:hAnsi="Arial"/>
          <w:sz w:val="17"/>
          <w:szCs w:val="17"/>
          <w:b w:val="1"/>
          <w:bCs w:val="1"/>
          <w:color w:val="auto"/>
        </w:rPr>
        <w:t>“FOR” each proposal.</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459105</wp:posOffset>
            </wp:positionV>
            <wp:extent cx="5455920"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 w:name="page3"/>
    <w:bookmarkEnd w:id="2"/>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Only holders of record of Common Stock at the close of business on October 23, 2026 are entitled to notice of, and to vote at, the Special Meeting and any adjournment thereof, subject to any new record date required or established under applicable law. It is important that your shares be represented and voted. Please promptly vote by telephone or Internet, or complete, sign, date and return the enclosed proxy card. Submitting a proxy does not prevent you from attending the Special Meeting and voting at the meeting in accordance with its procedures.</w:t>
      </w:r>
    </w:p>
    <w:p>
      <w:pPr>
        <w:spacing w:after="0" w:line="83"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2140" w:type="dxa"/>
            <w:vAlign w:val="bottom"/>
          </w:tcPr>
          <w:p>
            <w:pPr>
              <w:spacing w:after="0"/>
              <w:rPr>
                <w:sz w:val="19"/>
                <w:szCs w:val="19"/>
                <w:color w:val="auto"/>
              </w:rPr>
            </w:pPr>
          </w:p>
        </w:tc>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By Order of the Board of Directors,</w:t>
            </w:r>
          </w:p>
        </w:tc>
        <w:tc>
          <w:tcPr>
            <w:tcW w:w="0" w:type="dxa"/>
            <w:vAlign w:val="bottom"/>
          </w:tcPr>
          <w:p>
            <w:pPr>
              <w:spacing w:after="0"/>
              <w:rPr>
                <w:sz w:val="1"/>
                <w:szCs w:val="1"/>
                <w:color w:val="auto"/>
              </w:rPr>
            </w:pPr>
          </w:p>
        </w:tc>
      </w:tr>
      <w:tr>
        <w:trPr>
          <w:trHeight w:val="280"/>
        </w:trPr>
        <w:tc>
          <w:tcPr>
            <w:tcW w:w="2140" w:type="dxa"/>
            <w:vAlign w:val="bottom"/>
          </w:tcPr>
          <w:p>
            <w:pPr>
              <w:ind w:left="20"/>
              <w:spacing w:after="0"/>
              <w:rPr>
                <w:sz w:val="20"/>
                <w:szCs w:val="20"/>
                <w:color w:val="auto"/>
              </w:rPr>
            </w:pPr>
            <w:r>
              <w:rPr>
                <w:rFonts w:ascii="Arial" w:cs="Arial" w:eastAsia="Arial" w:hAnsi="Arial"/>
                <w:sz w:val="17"/>
                <w:szCs w:val="17"/>
                <w:color w:val="auto"/>
              </w:rPr>
              <w:t>Aliso Viejo, California</w:t>
            </w:r>
          </w:p>
        </w:tc>
        <w:tc>
          <w:tcPr>
            <w:tcW w:w="6360" w:type="dxa"/>
            <w:vAlign w:val="bottom"/>
          </w:tcPr>
          <w:p>
            <w:pPr>
              <w:ind w:left="20"/>
              <w:spacing w:after="0"/>
              <w:rPr>
                <w:sz w:val="20"/>
                <w:szCs w:val="20"/>
                <w:color w:val="auto"/>
              </w:rPr>
            </w:pPr>
            <w:r>
              <w:rPr>
                <w:rFonts w:ascii="Arial" w:cs="Arial" w:eastAsia="Arial" w:hAnsi="Arial"/>
                <w:sz w:val="17"/>
                <w:szCs w:val="17"/>
                <w:color w:val="auto"/>
              </w:rPr>
              <w:t>/s/ Robert Bancroft</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6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40" w:type="dxa"/>
            <w:vAlign w:val="bottom"/>
            <w:vMerge w:val="restart"/>
          </w:tcPr>
          <w:p>
            <w:pPr>
              <w:spacing w:after="0"/>
              <w:rPr>
                <w:sz w:val="20"/>
                <w:szCs w:val="20"/>
                <w:color w:val="auto"/>
              </w:rPr>
            </w:pPr>
            <w:r>
              <w:rPr>
                <w:rFonts w:ascii="Arial" w:cs="Arial" w:eastAsia="Arial" w:hAnsi="Arial"/>
                <w:sz w:val="17"/>
                <w:szCs w:val="17"/>
                <w:color w:val="auto"/>
              </w:rPr>
              <w:t>October 26, 2026</w:t>
            </w:r>
          </w:p>
        </w:tc>
        <w:tc>
          <w:tcPr>
            <w:tcW w:w="6360" w:type="dxa"/>
            <w:vAlign w:val="bottom"/>
          </w:tcPr>
          <w:p>
            <w:pPr>
              <w:ind w:left="20"/>
              <w:spacing w:after="0" w:line="166" w:lineRule="exact"/>
              <w:rPr>
                <w:sz w:val="20"/>
                <w:szCs w:val="20"/>
                <w:color w:val="auto"/>
              </w:rPr>
            </w:pPr>
            <w:r>
              <w:rPr>
                <w:rFonts w:ascii="Arial" w:cs="Arial" w:eastAsia="Arial" w:hAnsi="Arial"/>
                <w:sz w:val="17"/>
                <w:szCs w:val="17"/>
                <w:color w:val="auto"/>
              </w:rPr>
              <w:t>Robert Bancroft</w:t>
            </w:r>
          </w:p>
        </w:tc>
        <w:tc>
          <w:tcPr>
            <w:tcW w:w="0" w:type="dxa"/>
            <w:vAlign w:val="bottom"/>
          </w:tcPr>
          <w:p>
            <w:pPr>
              <w:spacing w:after="0"/>
              <w:rPr>
                <w:sz w:val="1"/>
                <w:szCs w:val="1"/>
                <w:color w:val="auto"/>
              </w:rPr>
            </w:pPr>
          </w:p>
        </w:tc>
      </w:tr>
      <w:tr>
        <w:trPr>
          <w:trHeight w:val="119"/>
        </w:trPr>
        <w:tc>
          <w:tcPr>
            <w:tcW w:w="2140" w:type="dxa"/>
            <w:vAlign w:val="bottom"/>
            <w:vMerge w:val="continue"/>
          </w:tcPr>
          <w:p>
            <w:pPr>
              <w:spacing w:after="0"/>
              <w:rPr>
                <w:sz w:val="10"/>
                <w:szCs w:val="10"/>
                <w:color w:val="auto"/>
              </w:rPr>
            </w:pPr>
          </w:p>
        </w:tc>
        <w:tc>
          <w:tcPr>
            <w:tcW w:w="636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President, Chief Executive Officer and Director</w:t>
            </w:r>
          </w:p>
        </w:tc>
        <w:tc>
          <w:tcPr>
            <w:tcW w:w="0" w:type="dxa"/>
            <w:vAlign w:val="bottom"/>
          </w:tcPr>
          <w:p>
            <w:pPr>
              <w:spacing w:after="0"/>
              <w:rPr>
                <w:sz w:val="1"/>
                <w:szCs w:val="1"/>
                <w:color w:val="auto"/>
              </w:rPr>
            </w:pPr>
          </w:p>
        </w:tc>
      </w:tr>
      <w:tr>
        <w:trPr>
          <w:trHeight w:val="100"/>
        </w:trPr>
        <w:tc>
          <w:tcPr>
            <w:tcW w:w="2140" w:type="dxa"/>
            <w:vAlign w:val="bottom"/>
          </w:tcPr>
          <w:p>
            <w:pPr>
              <w:spacing w:after="0"/>
              <w:rPr>
                <w:sz w:val="8"/>
                <w:szCs w:val="8"/>
                <w:color w:val="auto"/>
              </w:rPr>
            </w:pPr>
          </w:p>
        </w:tc>
        <w:tc>
          <w:tcPr>
            <w:tcW w:w="6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125095</wp:posOffset>
            </wp:positionV>
            <wp:extent cx="5551805" cy="1351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1805" cy="1351915"/>
                    </a:xfrm>
                    <a:prstGeom prst="rect">
                      <a:avLst/>
                    </a:prstGeom>
                    <a:noFill/>
                  </pic:spPr>
                </pic:pic>
              </a:graphicData>
            </a:graphic>
          </wp:anchor>
        </w:drawing>
      </w:r>
    </w:p>
    <w:p>
      <w:pPr>
        <w:spacing w:after="0" w:line="185" w:lineRule="exact"/>
        <w:rPr>
          <w:sz w:val="20"/>
          <w:szCs w:val="20"/>
          <w:color w:val="auto"/>
        </w:rPr>
      </w:pPr>
    </w:p>
    <w:p>
      <w:pPr>
        <w:jc w:val="both"/>
        <w:ind w:left="220" w:right="239"/>
        <w:spacing w:after="0" w:line="271"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December 15, 2026.</w:t>
      </w:r>
    </w:p>
    <w:p>
      <w:pPr>
        <w:spacing w:after="0" w:line="122" w:lineRule="exact"/>
        <w:rPr>
          <w:sz w:val="20"/>
          <w:szCs w:val="20"/>
          <w:color w:val="auto"/>
        </w:rPr>
      </w:pPr>
    </w:p>
    <w:p>
      <w:pPr>
        <w:jc w:val="both"/>
        <w:ind w:left="220" w:right="219"/>
        <w:spacing w:after="0" w:line="271" w:lineRule="auto"/>
        <w:rPr>
          <w:sz w:val="20"/>
          <w:szCs w:val="20"/>
          <w:color w:val="auto"/>
        </w:rPr>
      </w:pPr>
      <w:r>
        <w:rPr>
          <w:rFonts w:ascii="Arial" w:cs="Arial" w:eastAsia="Arial" w:hAnsi="Arial"/>
          <w:sz w:val="17"/>
          <w:szCs w:val="17"/>
          <w:b w:val="1"/>
          <w:bCs w:val="1"/>
          <w:color w:val="auto"/>
        </w:rPr>
        <w:t>The Notice of Special Meeting, this Proxy Statement and the form of proxy card are available at www.proxyvote.com and on our Investor Relations website at https://investors.aeonbiopharma.com.</w:t>
      </w:r>
    </w:p>
    <w:p>
      <w:pPr>
        <w:spacing w:after="0" w:line="122" w:lineRule="exact"/>
        <w:rPr>
          <w:sz w:val="20"/>
          <w:szCs w:val="20"/>
          <w:color w:val="auto"/>
        </w:rPr>
      </w:pPr>
    </w:p>
    <w:p>
      <w:pPr>
        <w:ind w:left="220" w:right="299"/>
        <w:spacing w:after="0"/>
        <w:rPr>
          <w:sz w:val="20"/>
          <w:szCs w:val="20"/>
          <w:color w:val="auto"/>
        </w:rPr>
      </w:pPr>
      <w:r>
        <w:rPr>
          <w:rFonts w:ascii="Arial" w:cs="Arial" w:eastAsia="Arial" w:hAnsi="Arial"/>
          <w:sz w:val="17"/>
          <w:szCs w:val="17"/>
          <w:b w:val="1"/>
          <w:bCs w:val="1"/>
          <w:color w:val="auto"/>
        </w:rPr>
        <w:t>Your vote is very important. You may vote at the meeting or by proxy. Whether or not you plan to attend the Special Meeting, we encourage you to review the proxy materials and submit your proxy or voting instructions as soon as possible. You may vote your proxy by telephone or Internet (instructions are on your proxy card or voting instruction form, as applicable) or by completing, signing, dating and mailing the enclosed proxy card in the enclosed envelope.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459105</wp:posOffset>
            </wp:positionV>
            <wp:extent cx="545592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5920" cy="1587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 w:name="page4"/>
    <w:bookmarkEnd w:id="3"/>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TABLE OF CONTENTS</w:t>
      </w:r>
    </w:p>
    <w:p>
      <w:pPr>
        <w:spacing w:after="0" w:line="340"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Page</w:t>
            </w:r>
          </w:p>
        </w:tc>
      </w:tr>
      <w:tr>
        <w:trPr>
          <w:trHeight w:val="343"/>
        </w:trPr>
        <w:tc>
          <w:tcPr>
            <w:tcW w:w="4180" w:type="dxa"/>
            <w:vAlign w:val="bottom"/>
            <w:tcBorders>
              <w:bottom w:val="single" w:sz="8" w:color="0000EE"/>
            </w:tcBorders>
            <w:gridSpan w:val="12"/>
          </w:tcPr>
          <w:p>
            <w:pPr>
              <w:spacing w:after="0"/>
              <w:rPr>
                <w:sz w:val="20"/>
                <w:szCs w:val="20"/>
                <w:color w:val="auto"/>
              </w:rPr>
            </w:pPr>
            <w:r>
              <w:rPr>
                <w:rFonts w:ascii="Arial" w:cs="Arial" w:eastAsia="Arial" w:hAnsi="Arial"/>
                <w:sz w:val="17"/>
                <w:szCs w:val="17"/>
                <w:color w:val="0000EE"/>
                <w:w w:val="97"/>
              </w:rPr>
              <w:t>NOTICE OF SPECIAL MEETING OF STOCKHOLDERS</w:t>
            </w:r>
          </w:p>
        </w:tc>
        <w:tc>
          <w:tcPr>
            <w:tcW w:w="3340" w:type="dxa"/>
            <w:vAlign w:val="bottom"/>
            <w:gridSpan w:val="3"/>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368"/>
        </w:trPr>
        <w:tc>
          <w:tcPr>
            <w:tcW w:w="25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6"/>
              </w:rPr>
              <w:t>PROXY STATEMENT SUMMARY</w:t>
            </w:r>
          </w:p>
        </w:tc>
        <w:tc>
          <w:tcPr>
            <w:tcW w:w="5000" w:type="dxa"/>
            <w:vAlign w:val="bottom"/>
            <w:gridSpan w:val="11"/>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318"/>
        </w:trPr>
        <w:tc>
          <w:tcPr>
            <w:tcW w:w="282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6"/>
              </w:rPr>
              <w:t>FORWARD-LOOKING STATEMENTS</w:t>
            </w:r>
          </w:p>
        </w:tc>
        <w:tc>
          <w:tcPr>
            <w:tcW w:w="4700" w:type="dxa"/>
            <w:vAlign w:val="bottom"/>
            <w:gridSpan w:val="10"/>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368"/>
        </w:trPr>
        <w:tc>
          <w:tcPr>
            <w:tcW w:w="7520" w:type="dxa"/>
            <w:vAlign w:val="bottom"/>
            <w:gridSpan w:val="15"/>
          </w:tcPr>
          <w:p>
            <w:pPr>
              <w:spacing w:after="0"/>
              <w:rPr>
                <w:sz w:val="20"/>
                <w:szCs w:val="20"/>
                <w:color w:val="auto"/>
              </w:rPr>
            </w:pPr>
            <w:r>
              <w:rPr>
                <w:rFonts w:ascii="Arial" w:cs="Arial" w:eastAsia="Arial" w:hAnsi="Arial"/>
                <w:sz w:val="17"/>
                <w:szCs w:val="17"/>
                <w:color w:val="0000EE"/>
              </w:rPr>
              <w:t>PROXY STATEMENT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1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18"/>
        </w:trPr>
        <w:tc>
          <w:tcPr>
            <w:tcW w:w="228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97"/>
              </w:rPr>
              <w:t>QUESTIONS AND ANSWERS</w:t>
            </w:r>
          </w:p>
        </w:tc>
        <w:tc>
          <w:tcPr>
            <w:tcW w:w="5240" w:type="dxa"/>
            <w:vAlign w:val="bottom"/>
            <w:gridSpan w:val="12"/>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368"/>
        </w:trPr>
        <w:tc>
          <w:tcPr>
            <w:tcW w:w="354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7"/>
              </w:rPr>
              <w:t>BACKGROUND FOR THE SPECIAL MEETING</w:t>
            </w:r>
          </w:p>
        </w:tc>
        <w:tc>
          <w:tcPr>
            <w:tcW w:w="3980" w:type="dxa"/>
            <w:vAlign w:val="bottom"/>
            <w:gridSpan w:val="8"/>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318"/>
        </w:trPr>
        <w:tc>
          <w:tcPr>
            <w:tcW w:w="460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97"/>
              </w:rPr>
              <w:t>PROPOSAL 1 — THE REVERSE STOCK SPLIT PROPOSAL</w:t>
            </w:r>
          </w:p>
        </w:tc>
        <w:tc>
          <w:tcPr>
            <w:tcW w:w="2920" w:type="dxa"/>
            <w:vAlign w:val="bottom"/>
            <w:gridSpan w:val="2"/>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368"/>
        </w:trPr>
        <w:tc>
          <w:tcPr>
            <w:tcW w:w="7520" w:type="dxa"/>
            <w:vAlign w:val="bottom"/>
            <w:gridSpan w:val="15"/>
          </w:tcPr>
          <w:p>
            <w:pPr>
              <w:spacing w:after="0"/>
              <w:rPr>
                <w:sz w:val="20"/>
                <w:szCs w:val="20"/>
                <w:color w:val="auto"/>
              </w:rPr>
            </w:pPr>
            <w:r>
              <w:rPr>
                <w:rFonts w:ascii="Arial" w:cs="Arial" w:eastAsia="Arial" w:hAnsi="Arial"/>
                <w:sz w:val="17"/>
                <w:szCs w:val="17"/>
                <w:color w:val="0000EE"/>
              </w:rPr>
              <w:t>PROPOSAL 2 — THE EQUITY PLAN PROPOSAL</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16</w:t>
            </w:r>
          </w:p>
        </w:tc>
      </w:tr>
      <w:tr>
        <w:trPr>
          <w:trHeight w:val="318"/>
        </w:trPr>
        <w:tc>
          <w:tcPr>
            <w:tcW w:w="36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7"/>
              </w:rPr>
              <w:t>EXECUTIVE AND DIRECTOR COMPENSATION</w:t>
            </w:r>
          </w:p>
        </w:tc>
        <w:tc>
          <w:tcPr>
            <w:tcW w:w="100" w:type="dxa"/>
            <w:vAlign w:val="bottom"/>
            <w:tcBorders>
              <w:top w:val="single" w:sz="8" w:color="0000EE"/>
            </w:tcBorders>
            <w:gridSpan w:val="2"/>
          </w:tcPr>
          <w:p>
            <w:pPr>
              <w:spacing w:after="0"/>
              <w:rPr>
                <w:sz w:val="24"/>
                <w:szCs w:val="24"/>
                <w:color w:val="auto"/>
              </w:rPr>
            </w:pPr>
          </w:p>
        </w:tc>
        <w:tc>
          <w:tcPr>
            <w:tcW w:w="3760" w:type="dxa"/>
            <w:vAlign w:val="bottom"/>
            <w:gridSpan w:val="5"/>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23</w:t>
            </w:r>
          </w:p>
        </w:tc>
      </w:tr>
      <w:tr>
        <w:trPr>
          <w:trHeight w:val="343"/>
        </w:trPr>
        <w:tc>
          <w:tcPr>
            <w:tcW w:w="370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7"/>
              </w:rPr>
              <w:t>EQUITY COMPENSATION PLAN INFORMATION</w:t>
            </w:r>
          </w:p>
        </w:tc>
        <w:tc>
          <w:tcPr>
            <w:tcW w:w="3820" w:type="dxa"/>
            <w:vAlign w:val="bottom"/>
            <w:gridSpan w:val="6"/>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27</w:t>
            </w:r>
          </w:p>
        </w:tc>
      </w:tr>
      <w:tr>
        <w:trPr>
          <w:trHeight w:val="343"/>
        </w:trPr>
        <w:tc>
          <w:tcPr>
            <w:tcW w:w="312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7"/>
              </w:rPr>
              <w:t>PROPOSAL 3 — THE ESPP PROPOSAL</w:t>
            </w:r>
          </w:p>
        </w:tc>
        <w:tc>
          <w:tcPr>
            <w:tcW w:w="4400" w:type="dxa"/>
            <w:vAlign w:val="bottom"/>
            <w:gridSpan w:val="9"/>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29</w:t>
            </w:r>
          </w:p>
        </w:tc>
      </w:tr>
      <w:tr>
        <w:trPr>
          <w:trHeight w:val="343"/>
        </w:trPr>
        <w:tc>
          <w:tcPr>
            <w:tcW w:w="7520" w:type="dxa"/>
            <w:vAlign w:val="bottom"/>
            <w:gridSpan w:val="15"/>
          </w:tcPr>
          <w:p>
            <w:pPr>
              <w:spacing w:after="0"/>
              <w:rPr>
                <w:sz w:val="20"/>
                <w:szCs w:val="20"/>
                <w:color w:val="auto"/>
              </w:rPr>
            </w:pPr>
            <w:r>
              <w:rPr>
                <w:rFonts w:ascii="Arial" w:cs="Arial" w:eastAsia="Arial" w:hAnsi="Arial"/>
                <w:sz w:val="17"/>
                <w:szCs w:val="17"/>
                <w:color w:val="0000EE"/>
              </w:rPr>
              <w:t>PROPOSAL 4 — THE ADJOURNMENT PROPOSAL</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33</w:t>
            </w:r>
          </w:p>
        </w:tc>
      </w:tr>
      <w:tr>
        <w:trPr>
          <w:trHeight w:val="20"/>
        </w:trPr>
        <w:tc>
          <w:tcPr>
            <w:tcW w:w="2200" w:type="dxa"/>
            <w:vAlign w:val="bottom"/>
            <w:gridSpan w:val="2"/>
            <w:shd w:val="clear" w:color="auto" w:fill="0000EE"/>
          </w:tcPr>
          <w:p>
            <w:pPr>
              <w:spacing w:after="0" w:line="20" w:lineRule="exact"/>
              <w:rPr>
                <w:sz w:val="1"/>
                <w:szCs w:val="1"/>
                <w:color w:val="auto"/>
              </w:rPr>
            </w:pPr>
          </w:p>
        </w:tc>
        <w:tc>
          <w:tcPr>
            <w:tcW w:w="1740" w:type="dxa"/>
            <w:vAlign w:val="bottom"/>
            <w:gridSpan w:val="9"/>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68"/>
        </w:trPr>
        <w:tc>
          <w:tcPr>
            <w:tcW w:w="7520" w:type="dxa"/>
            <w:vAlign w:val="bottom"/>
            <w:gridSpan w:val="15"/>
          </w:tcPr>
          <w:p>
            <w:pPr>
              <w:spacing w:after="0"/>
              <w:rPr>
                <w:sz w:val="20"/>
                <w:szCs w:val="20"/>
                <w:color w:val="auto"/>
              </w:rPr>
            </w:pPr>
            <w:r>
              <w:rPr>
                <w:rFonts w:ascii="Arial" w:cs="Arial" w:eastAsia="Arial" w:hAnsi="Arial"/>
                <w:sz w:val="17"/>
                <w:szCs w:val="17"/>
                <w:color w:val="0000EE"/>
              </w:rPr>
              <w:t>SECURITY OWNERSHIP OF CERTAIN BENEFICIAL OWNERS AND MANAGEMENT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34</w:t>
            </w:r>
          </w:p>
        </w:tc>
      </w:tr>
      <w:tr>
        <w:trPr>
          <w:trHeight w:val="318"/>
        </w:trPr>
        <w:tc>
          <w:tcPr>
            <w:tcW w:w="6420" w:type="dxa"/>
            <w:vAlign w:val="bottom"/>
            <w:tcBorders>
              <w:top w:val="single" w:sz="8" w:color="0000EE"/>
            </w:tcBorders>
            <w:gridSpan w:val="14"/>
          </w:tcPr>
          <w:p>
            <w:pPr>
              <w:spacing w:after="0"/>
              <w:rPr>
                <w:sz w:val="20"/>
                <w:szCs w:val="20"/>
                <w:color w:val="auto"/>
              </w:rPr>
            </w:pPr>
            <w:r>
              <w:rPr>
                <w:rFonts w:ascii="Arial" w:cs="Arial" w:eastAsia="Arial" w:hAnsi="Arial"/>
                <w:sz w:val="17"/>
                <w:szCs w:val="17"/>
                <w:color w:val="0000EE"/>
              </w:rPr>
              <w:t>ADDITIONAL INFORMATION</w:t>
            </w:r>
          </w:p>
        </w:tc>
        <w:tc>
          <w:tcPr>
            <w:tcW w:w="1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36</w:t>
            </w:r>
          </w:p>
        </w:tc>
      </w:tr>
      <w:tr>
        <w:trPr>
          <w:trHeight w:val="20"/>
        </w:trPr>
        <w:tc>
          <w:tcPr>
            <w:tcW w:w="2200" w:type="dxa"/>
            <w:vAlign w:val="bottom"/>
            <w:gridSpan w:val="2"/>
            <w:shd w:val="clear" w:color="auto" w:fill="0000EE"/>
          </w:tcPr>
          <w:p>
            <w:pPr>
              <w:spacing w:after="0" w:line="20" w:lineRule="exact"/>
              <w:rPr>
                <w:sz w:val="1"/>
                <w:szCs w:val="1"/>
                <w:color w:val="auto"/>
              </w:rPr>
            </w:pPr>
          </w:p>
        </w:tc>
        <w:tc>
          <w:tcPr>
            <w:tcW w:w="5320" w:type="dxa"/>
            <w:vAlign w:val="bottom"/>
            <w:gridSpan w:val="1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0"/>
        </w:trPr>
        <w:tc>
          <w:tcPr>
            <w:tcW w:w="7520" w:type="dxa"/>
            <w:vAlign w:val="bottom"/>
            <w:gridSpan w:val="15"/>
          </w:tcPr>
          <w:p>
            <w:pPr>
              <w:spacing w:after="0"/>
              <w:rPr>
                <w:sz w:val="20"/>
                <w:szCs w:val="20"/>
                <w:color w:val="auto"/>
              </w:rPr>
            </w:pPr>
            <w:r>
              <w:rPr>
                <w:rFonts w:ascii="Arial" w:cs="Arial" w:eastAsia="Arial" w:hAnsi="Arial"/>
                <w:sz w:val="17"/>
                <w:szCs w:val="17"/>
                <w:color w:val="auto"/>
              </w:rPr>
              <w:t>APPENDIX A — FORM OF CERTIFICATE OF AMENDMENT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38</w:t>
            </w:r>
          </w:p>
        </w:tc>
      </w:tr>
      <w:tr>
        <w:trPr>
          <w:trHeight w:val="338"/>
        </w:trPr>
        <w:tc>
          <w:tcPr>
            <w:tcW w:w="7520" w:type="dxa"/>
            <w:vAlign w:val="bottom"/>
            <w:gridSpan w:val="15"/>
          </w:tcPr>
          <w:p>
            <w:pPr>
              <w:spacing w:after="0"/>
              <w:rPr>
                <w:sz w:val="20"/>
                <w:szCs w:val="20"/>
                <w:color w:val="auto"/>
              </w:rPr>
            </w:pPr>
            <w:r>
              <w:rPr>
                <w:rFonts w:ascii="Arial" w:cs="Arial" w:eastAsia="Arial" w:hAnsi="Arial"/>
                <w:sz w:val="17"/>
                <w:szCs w:val="17"/>
                <w:color w:val="auto"/>
              </w:rPr>
              <w:t>APPENDIX B — SECOND AMENDED AND RESTATED 2023 INCENTIVE AWARD PLAN</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39</w:t>
            </w:r>
          </w:p>
        </w:tc>
      </w:tr>
      <w:tr>
        <w:trPr>
          <w:trHeight w:val="388"/>
        </w:trPr>
        <w:tc>
          <w:tcPr>
            <w:tcW w:w="7520" w:type="dxa"/>
            <w:vAlign w:val="bottom"/>
            <w:gridSpan w:val="15"/>
          </w:tcPr>
          <w:p>
            <w:pPr>
              <w:spacing w:after="0"/>
              <w:rPr>
                <w:sz w:val="20"/>
                <w:szCs w:val="20"/>
                <w:color w:val="auto"/>
              </w:rPr>
            </w:pPr>
            <w:r>
              <w:rPr>
                <w:rFonts w:ascii="Arial" w:cs="Arial" w:eastAsia="Arial" w:hAnsi="Arial"/>
                <w:sz w:val="17"/>
                <w:szCs w:val="17"/>
                <w:color w:val="auto"/>
              </w:rPr>
              <w:t>APPENDIX C — AMENDED AND RESTATED 2023 EMPLOYEE STOCK PURCHASE PLAN</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59</w:t>
            </w:r>
          </w:p>
        </w:tc>
      </w:tr>
      <w:tr>
        <w:trPr>
          <w:trHeight w:val="338"/>
        </w:trPr>
        <w:tc>
          <w:tcPr>
            <w:tcW w:w="7520" w:type="dxa"/>
            <w:vAlign w:val="bottom"/>
            <w:gridSpan w:val="15"/>
          </w:tcPr>
          <w:p>
            <w:pPr>
              <w:spacing w:after="0"/>
              <w:rPr>
                <w:sz w:val="20"/>
                <w:szCs w:val="20"/>
                <w:color w:val="auto"/>
              </w:rPr>
            </w:pPr>
            <w:r>
              <w:rPr>
                <w:rFonts w:ascii="Arial" w:cs="Arial" w:eastAsia="Arial" w:hAnsi="Arial"/>
                <w:sz w:val="17"/>
                <w:szCs w:val="17"/>
                <w:color w:val="auto"/>
              </w:rPr>
              <w:t>APPENDIX D — FORM OF PROXY CARD</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459105</wp:posOffset>
            </wp:positionV>
            <wp:extent cx="545592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 w:name="page5"/>
    <w:bookmarkEnd w:id="4"/>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585470</wp:posOffset>
            </wp:positionV>
            <wp:extent cx="1829435" cy="763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94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 SUMMARY</w:t>
      </w:r>
    </w:p>
    <w:p>
      <w:pPr>
        <w:spacing w:after="0" w:line="195" w:lineRule="exact"/>
        <w:rPr>
          <w:sz w:val="20"/>
          <w:szCs w:val="20"/>
          <w:color w:val="auto"/>
        </w:rPr>
      </w:pPr>
    </w:p>
    <w:p>
      <w:pPr>
        <w:ind w:left="200" w:right="219"/>
        <w:spacing w:after="0" w:line="259" w:lineRule="auto"/>
        <w:rPr>
          <w:sz w:val="20"/>
          <w:szCs w:val="20"/>
          <w:color w:val="auto"/>
        </w:rPr>
      </w:pPr>
      <w:r>
        <w:rPr>
          <w:rFonts w:ascii="Arial" w:cs="Arial" w:eastAsia="Arial" w:hAnsi="Arial"/>
          <w:sz w:val="17"/>
          <w:szCs w:val="17"/>
          <w:i w:val="1"/>
          <w:iCs w:val="1"/>
          <w:color w:val="auto"/>
        </w:rPr>
        <w:t>This summary contains highlights about our upcoming Special Meeting. It does not contain all information that you may wish to consider before voting. Please read the entire Proxy Statement, including its appendices.</w:t>
      </w:r>
    </w:p>
    <w:p>
      <w:pPr>
        <w:spacing w:after="0" w:line="102" w:lineRule="exact"/>
        <w:rPr>
          <w:sz w:val="20"/>
          <w:szCs w:val="20"/>
          <w:color w:val="auto"/>
        </w:rPr>
      </w:pPr>
    </w:p>
    <w:p>
      <w:pPr>
        <w:ind w:left="220"/>
        <w:spacing w:after="0"/>
        <w:tabs>
          <w:tab w:leader="none" w:pos="2260" w:val="left"/>
        </w:tabs>
        <w:rPr>
          <w:sz w:val="20"/>
          <w:szCs w:val="20"/>
          <w:color w:val="auto"/>
        </w:rPr>
      </w:pPr>
      <w:r>
        <w:rPr>
          <w:rFonts w:ascii="Arial" w:cs="Arial" w:eastAsia="Arial" w:hAnsi="Arial"/>
          <w:sz w:val="17"/>
          <w:szCs w:val="17"/>
          <w:color w:val="auto"/>
        </w:rPr>
        <w:t>Date and time</w:t>
      </w:r>
      <w:r>
        <w:rPr>
          <w:sz w:val="20"/>
          <w:szCs w:val="20"/>
          <w:color w:val="auto"/>
        </w:rPr>
        <w:tab/>
      </w:r>
      <w:r>
        <w:rPr>
          <w:rFonts w:ascii="Arial" w:cs="Arial" w:eastAsia="Arial" w:hAnsi="Arial"/>
          <w:sz w:val="16"/>
          <w:szCs w:val="16"/>
          <w:color w:val="auto"/>
        </w:rPr>
        <w:t>December 15, 2026, at 1:00 p.m. Pacific Time</w:t>
      </w:r>
    </w:p>
    <w:p>
      <w:pPr>
        <w:spacing w:after="0" w:line="26" w:lineRule="exact"/>
        <w:rPr>
          <w:sz w:val="20"/>
          <w:szCs w:val="20"/>
          <w:color w:val="auto"/>
        </w:rPr>
      </w:pPr>
    </w:p>
    <w:p>
      <w:pPr>
        <w:ind w:left="220"/>
        <w:spacing w:after="0"/>
        <w:tabs>
          <w:tab w:leader="none" w:pos="2260" w:val="left"/>
        </w:tabs>
        <w:rPr>
          <w:sz w:val="20"/>
          <w:szCs w:val="20"/>
          <w:color w:val="auto"/>
        </w:rPr>
      </w:pPr>
      <w:r>
        <w:rPr>
          <w:rFonts w:ascii="Arial" w:cs="Arial" w:eastAsia="Arial" w:hAnsi="Arial"/>
          <w:sz w:val="17"/>
          <w:szCs w:val="17"/>
          <w:color w:val="auto"/>
        </w:rPr>
        <w:t>Location</w:t>
      </w:r>
      <w:r>
        <w:rPr>
          <w:sz w:val="20"/>
          <w:szCs w:val="20"/>
          <w:color w:val="auto"/>
        </w:rPr>
        <w:tab/>
      </w:r>
      <w:r>
        <w:rPr>
          <w:rFonts w:ascii="Arial" w:cs="Arial" w:eastAsia="Arial" w:hAnsi="Arial"/>
          <w:sz w:val="17"/>
          <w:szCs w:val="17"/>
          <w:color w:val="auto"/>
        </w:rPr>
        <w:t>130 Vantis Dr., Suite 170, Aliso Viejo, CA 92656</w:t>
      </w:r>
    </w:p>
    <w:p>
      <w:pPr>
        <w:spacing w:after="0" w:line="17" w:lineRule="exact"/>
        <w:rPr>
          <w:sz w:val="20"/>
          <w:szCs w:val="20"/>
          <w:color w:val="auto"/>
        </w:rPr>
      </w:pPr>
    </w:p>
    <w:p>
      <w:pPr>
        <w:ind w:left="220"/>
        <w:spacing w:after="0"/>
        <w:tabs>
          <w:tab w:leader="none" w:pos="2260" w:val="left"/>
        </w:tabs>
        <w:rPr>
          <w:sz w:val="20"/>
          <w:szCs w:val="20"/>
          <w:color w:val="auto"/>
        </w:rPr>
      </w:pPr>
      <w:r>
        <w:rPr>
          <w:rFonts w:ascii="Arial" w:cs="Arial" w:eastAsia="Arial" w:hAnsi="Arial"/>
          <w:sz w:val="17"/>
          <w:szCs w:val="17"/>
          <w:color w:val="auto"/>
        </w:rPr>
        <w:t>Record date</w:t>
      </w:r>
      <w:r>
        <w:rPr>
          <w:sz w:val="20"/>
          <w:szCs w:val="20"/>
          <w:color w:val="auto"/>
        </w:rPr>
        <w:tab/>
      </w:r>
      <w:r>
        <w:rPr>
          <w:rFonts w:ascii="Arial" w:cs="Arial" w:eastAsia="Arial" w:hAnsi="Arial"/>
          <w:sz w:val="16"/>
          <w:szCs w:val="16"/>
          <w:color w:val="auto"/>
        </w:rPr>
        <w:t>Close of business on October 23, 2026</w:t>
      </w:r>
    </w:p>
    <w:p>
      <w:pPr>
        <w:spacing w:after="0" w:line="17" w:lineRule="exact"/>
        <w:rPr>
          <w:sz w:val="20"/>
          <w:szCs w:val="20"/>
          <w:color w:val="auto"/>
        </w:rPr>
      </w:pPr>
    </w:p>
    <w:p>
      <w:pPr>
        <w:ind w:left="220"/>
        <w:spacing w:after="0"/>
        <w:tabs>
          <w:tab w:leader="none" w:pos="2260" w:val="left"/>
        </w:tabs>
        <w:rPr>
          <w:sz w:val="20"/>
          <w:szCs w:val="20"/>
          <w:color w:val="auto"/>
        </w:rPr>
      </w:pPr>
      <w:r>
        <w:rPr>
          <w:rFonts w:ascii="Arial" w:cs="Arial" w:eastAsia="Arial" w:hAnsi="Arial"/>
          <w:sz w:val="17"/>
          <w:szCs w:val="17"/>
          <w:color w:val="auto"/>
        </w:rPr>
        <w:t>First mailing</w:t>
      </w:r>
      <w:r>
        <w:rPr>
          <w:sz w:val="20"/>
          <w:szCs w:val="20"/>
          <w:color w:val="auto"/>
        </w:rPr>
        <w:tab/>
      </w:r>
      <w:r>
        <w:rPr>
          <w:rFonts w:ascii="Arial" w:cs="Arial" w:eastAsia="Arial" w:hAnsi="Arial"/>
          <w:sz w:val="16"/>
          <w:szCs w:val="16"/>
          <w:color w:val="auto"/>
        </w:rPr>
        <w:t>On or about October 26, 2026</w:t>
      </w:r>
    </w:p>
    <w:p>
      <w:pPr>
        <w:spacing w:after="0" w:line="17" w:lineRule="exact"/>
        <w:rPr>
          <w:sz w:val="20"/>
          <w:szCs w:val="20"/>
          <w:color w:val="auto"/>
        </w:rPr>
      </w:pPr>
    </w:p>
    <w:p>
      <w:pPr>
        <w:ind w:left="220"/>
        <w:spacing w:after="0"/>
        <w:tabs>
          <w:tab w:leader="none" w:pos="2260" w:val="left"/>
        </w:tabs>
        <w:rPr>
          <w:sz w:val="20"/>
          <w:szCs w:val="20"/>
          <w:color w:val="auto"/>
        </w:rPr>
      </w:pPr>
      <w:r>
        <w:rPr>
          <w:rFonts w:ascii="Arial" w:cs="Arial" w:eastAsia="Arial" w:hAnsi="Arial"/>
          <w:sz w:val="17"/>
          <w:szCs w:val="17"/>
          <w:color w:val="auto"/>
        </w:rPr>
        <w:t>Eligible voting securities</w:t>
      </w:r>
      <w:r>
        <w:rPr>
          <w:sz w:val="20"/>
          <w:szCs w:val="20"/>
          <w:color w:val="auto"/>
        </w:rPr>
        <w:tab/>
      </w:r>
      <w:r>
        <w:rPr>
          <w:rFonts w:ascii="Arial" w:cs="Arial" w:eastAsia="Arial" w:hAnsi="Arial"/>
          <w:sz w:val="16"/>
          <w:szCs w:val="16"/>
          <w:color w:val="auto"/>
        </w:rPr>
        <w:t>59,084,675 outstanding shares of Common Stock; one vote per share</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Voting matters and Board recommendations</w:t>
      </w:r>
    </w:p>
    <w:p>
      <w:pPr>
        <w:spacing w:after="0" w:line="143" w:lineRule="exact"/>
        <w:rPr>
          <w:sz w:val="20"/>
          <w:szCs w:val="20"/>
          <w:color w:val="auto"/>
        </w:rPr>
      </w:pPr>
    </w:p>
    <w:p>
      <w:pPr>
        <w:ind w:left="320"/>
        <w:spacing w:after="0"/>
        <w:tabs>
          <w:tab w:leader="none" w:pos="3740" w:val="left"/>
          <w:tab w:leader="none" w:pos="6880" w:val="left"/>
        </w:tabs>
        <w:rPr>
          <w:sz w:val="20"/>
          <w:szCs w:val="20"/>
          <w:color w:val="auto"/>
        </w:rPr>
      </w:pPr>
      <w:r>
        <w:rPr>
          <w:rFonts w:ascii="Arial" w:cs="Arial" w:eastAsia="Arial" w:hAnsi="Arial"/>
          <w:sz w:val="17"/>
          <w:szCs w:val="17"/>
          <w:b w:val="1"/>
          <w:bCs w:val="1"/>
          <w:color w:val="auto"/>
        </w:rPr>
        <w:t>Proposal</w:t>
      </w:r>
      <w:r>
        <w:rPr>
          <w:sz w:val="20"/>
          <w:szCs w:val="20"/>
          <w:color w:val="auto"/>
        </w:rPr>
        <w:tab/>
      </w:r>
      <w:r>
        <w:rPr>
          <w:rFonts w:ascii="Arial" w:cs="Arial" w:eastAsia="Arial" w:hAnsi="Arial"/>
          <w:sz w:val="17"/>
          <w:szCs w:val="17"/>
          <w:b w:val="1"/>
          <w:bCs w:val="1"/>
          <w:color w:val="auto"/>
        </w:rPr>
        <w:t>Matter</w:t>
      </w:r>
      <w:r>
        <w:rPr>
          <w:sz w:val="20"/>
          <w:szCs w:val="20"/>
          <w:color w:val="auto"/>
        </w:rPr>
        <w:tab/>
      </w:r>
      <w:r>
        <w:rPr>
          <w:rFonts w:ascii="Arial" w:cs="Arial" w:eastAsia="Arial" w:hAnsi="Arial"/>
          <w:sz w:val="16"/>
          <w:szCs w:val="16"/>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13970</wp:posOffset>
            </wp:positionV>
            <wp:extent cx="5455920" cy="381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5920" cy="38163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p>
      <w:pPr>
        <w:spacing w:after="0" w:line="34" w:lineRule="exact"/>
        <w:rPr>
          <w:sz w:val="20"/>
          <w:szCs w:val="20"/>
          <w:color w:val="auto"/>
        </w:rPr>
      </w:pPr>
    </w:p>
    <w:p>
      <w:pPr>
        <w:jc w:val="center"/>
        <w:ind w:left="760"/>
        <w:spacing w:after="0"/>
        <w:rPr>
          <w:sz w:val="20"/>
          <w:szCs w:val="20"/>
          <w:color w:val="auto"/>
        </w:rPr>
      </w:pPr>
      <w:r>
        <w:rPr>
          <w:rFonts w:ascii="Arial" w:cs="Arial" w:eastAsia="Arial" w:hAnsi="Arial"/>
          <w:sz w:val="17"/>
          <w:szCs w:val="17"/>
          <w:color w:val="auto"/>
        </w:rPr>
        <w:t>Authorize one reverse stock split at a ratio from 1-for-2 through 1-for-100</w:t>
      </w:r>
    </w:p>
    <w:p>
      <w:pPr>
        <w:spacing w:after="0" w:line="5" w:lineRule="exact"/>
        <w:rPr>
          <w:sz w:val="20"/>
          <w:szCs w:val="20"/>
          <w:color w:val="auto"/>
        </w:rPr>
      </w:pPr>
    </w:p>
    <w:p>
      <w:pPr>
        <w:ind w:left="1160" w:right="160" w:hanging="529"/>
        <w:spacing w:after="0" w:line="256"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selected by the Board, during the 12 months following stockholder approval, subject to the Compliance Condition, with authority to abandon the split.</w:t>
      </w:r>
    </w:p>
    <w:p>
      <w:pPr>
        <w:ind w:left="1160"/>
        <w:spacing w:after="0"/>
        <w:rPr>
          <w:sz w:val="20"/>
          <w:szCs w:val="20"/>
          <w:color w:val="auto"/>
        </w:rPr>
      </w:pPr>
      <w:r>
        <w:rPr>
          <w:rFonts w:ascii="Arial" w:cs="Arial" w:eastAsia="Arial" w:hAnsi="Arial"/>
          <w:sz w:val="17"/>
          <w:szCs w:val="17"/>
          <w:color w:val="auto"/>
        </w:rPr>
        <w:t>Amend the Plan solely to include shares underlying outstanding pre-funded</w:t>
      </w:r>
    </w:p>
    <w:p>
      <w:pPr>
        <w:ind w:left="1160" w:right="340" w:hanging="529"/>
        <w:spacing w:after="0" w:line="241"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warrants in fully-diluted shares for the annual evergreen calculation, while other warrants remain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-1270</wp:posOffset>
            </wp:positionV>
            <wp:extent cx="5455920" cy="374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5920" cy="37401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6"/>
          <w:szCs w:val="16"/>
          <w:color w:val="auto"/>
        </w:rPr>
        <w:t>Amend the ESPP solely to include shares underlying outstanding pre-funded</w:t>
      </w:r>
    </w:p>
    <w:p>
      <w:pPr>
        <w:spacing w:after="0" w:line="12" w:lineRule="exact"/>
        <w:rPr>
          <w:sz w:val="20"/>
          <w:szCs w:val="20"/>
          <w:color w:val="auto"/>
        </w:rPr>
      </w:pPr>
    </w:p>
    <w:p>
      <w:pPr>
        <w:ind w:left="1160" w:right="280" w:hanging="529"/>
        <w:spacing w:after="0" w:line="241"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warrants in fully-diluted shares for the annual ESPP evergreen calculation, while other warrants remain excluded.</w:t>
      </w:r>
    </w:p>
    <w:p>
      <w:pPr>
        <w:ind w:left="1160" w:right="700" w:hanging="529"/>
        <w:spacing w:after="0" w:line="181" w:lineRule="auto"/>
        <w:tabs>
          <w:tab w:leader="none" w:pos="1160" w:val="left"/>
        </w:tabs>
        <w:numPr>
          <w:ilvl w:val="0"/>
          <w:numId w:val="8"/>
        </w:numPr>
        <w:rPr>
          <w:rFonts w:ascii="Arial" w:cs="Arial" w:eastAsia="Arial" w:hAnsi="Arial"/>
          <w:sz w:val="30"/>
          <w:szCs w:val="30"/>
          <w:color w:val="auto"/>
          <w:vertAlign w:val="subscript"/>
        </w:rPr>
      </w:pPr>
      <w:r>
        <w:rPr>
          <w:rFonts w:ascii="Arial" w:cs="Arial" w:eastAsia="Arial" w:hAnsi="Arial"/>
          <w:sz w:val="16"/>
          <w:szCs w:val="16"/>
          <w:color w:val="auto"/>
        </w:rPr>
        <w:t>Approve one or more adjournments to solicit additional proxies if any substantive proposal lacks sufficient votes.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305" w:lineRule="exact"/>
        <w:rPr>
          <w:sz w:val="20"/>
          <w:szCs w:val="20"/>
          <w:color w:val="auto"/>
        </w:rPr>
      </w:pPr>
    </w:p>
    <w:p>
      <w:pPr>
        <w:sectPr>
          <w:pgSz w:w="11900" w:h="16838" w:orient="portrait"/>
          <w:cols w:equalWidth="0" w:num="2">
            <w:col w:w="6940" w:space="720"/>
            <w:col w:w="1359"/>
          </w:cols>
          <w:pgMar w:left="1440" w:top="626" w:right="1440" w:bottom="1440" w:gutter="0" w:footer="0" w:header="0"/>
          <w:type w:val="continuous"/>
        </w:sectPr>
      </w:pPr>
    </w:p>
    <w:p>
      <w:pPr>
        <w:jc w:val="both"/>
        <w:ind w:left="200" w:right="219"/>
        <w:spacing w:after="0" w:line="257" w:lineRule="auto"/>
        <w:rPr>
          <w:sz w:val="20"/>
          <w:szCs w:val="20"/>
          <w:color w:val="auto"/>
        </w:rPr>
      </w:pPr>
      <w:r>
        <w:rPr>
          <w:rFonts w:ascii="Arial" w:cs="Arial" w:eastAsia="Arial" w:hAnsi="Arial"/>
          <w:sz w:val="16"/>
          <w:szCs w:val="16"/>
          <w:color w:val="auto"/>
        </w:rPr>
        <w:t>The meeting has three substantive proposals and one procedural proposal. No proposal is conditioned on another. The Compliance Condition is set out in the Notice and Proposal 1. The Board may implement one split at any time before the 12-month authority expires, provided that the split complies with applicable laws, rules and regulations, including the applicable rules and requirements of the Exchange (including, while the prior 1-for-72 split remains in the applicable two-year lookback, the Exchange’s cumulative-ratio limit), or may abandon the split in its discretion.</w:t>
      </w:r>
    </w:p>
    <w:p>
      <w:pPr>
        <w:spacing w:after="0" w:line="54"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The Equity Plan Proposal does not immediately add a fixed number of shares. It changes the denominator for the existing annual evergreen increases beginning on January 1, 2027 by adding shares underlying pre-funded warrants to such denominator. Each annual increase remains the lesser of 5% of the prior year-end fully-diluted shares or a smaller amount determined by the Board. The ESPP Proposal makes the same change to the fully-diluted shares used for the ESPP’s annual evergreen increases, beginning with the increase on January 1, 2027, which remain the lesser of 1% of the prior year-end fully-diluted shares or a smaller amount determined by the Board. Neither proposal is conditioned on the other. Pre-funded warrants are not outstanding Common Stock and do not carry voting rights merely because their underlying shares are counted for these Plan and ESPP purposes.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5" w:name="page6"/>
    <w:bookmarkEnd w:id="5"/>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193" w:lineRule="exact"/>
        <w:rPr>
          <w:sz w:val="20"/>
          <w:szCs w:val="20"/>
          <w:color w:val="auto"/>
        </w:rPr>
      </w:pPr>
    </w:p>
    <w:p>
      <w:pPr>
        <w:jc w:val="both"/>
        <w:ind w:left="200" w:right="219"/>
        <w:spacing w:after="0" w:line="232" w:lineRule="auto"/>
        <w:rPr>
          <w:sz w:val="20"/>
          <w:szCs w:val="20"/>
          <w:color w:val="auto"/>
        </w:rPr>
      </w:pPr>
      <w:r>
        <w:rPr>
          <w:rFonts w:ascii="Arial" w:cs="Arial" w:eastAsia="Arial" w:hAnsi="Arial"/>
          <w:sz w:val="17"/>
          <w:szCs w:val="17"/>
          <w:color w:val="auto"/>
        </w:rPr>
        <w:t>This Proxy Statement contains forward-looking statements within the meaning of Section 27A of the Securities Act of 1933, as amended, and Section 21E of the Securities Exchange Act of 1934, as amended, which are subject to substantial risks and uncertainties and are based on estimates and assumptions. All statements other than statements of historical fact contained in this Proxy Statement, including statements regarding the possible implementation, timing and effects of the reverse stock split, the market price and liquidity of our Common Stock, our continued listing on the Exchange, future equity grants and the annual share reserve increases under the Plan and the ESPP, are forward-looking statements. In some cases, you can identify forward-looking statements by terms such as “may,” “will,” “should,” “could,” “would,” “expect,” “intend,” “plan,” “anticipate,” “believe,” “estimate,” “predict,” “potential” or the negative of these terms, and similar expressions intended to identify forward-looking statements. These statements involve known and unknown risks, uncertainties and other factors that could cause our actual results to differ materially from the forward-looking statements expressed or implied in this Proxy Statement, including the risks that the Board does not implement a reverse stock split, that a reverse stock split does not increase or sustain the market price or improve the liquidity of our Common Stock or otherwise adversely affects its trading, that approval of the proposals does not result in our continued listing, access to financing or business success, and that future share reserve increases under the Plan and the ESPP depend on our year-end capitalization and determinations by the Board, as well as the risks described under “Risk Factors” in our most recent Annual Report on Form 10-K and subsequent Quarterly Reports on Form 10-Q filed with the Securities and Exchange Commission (the “SEC”). We caution you not to place undue reliance on any forward-looking statements, which speak only as of the date of this Proxy Statement. We undertake no obligation to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6" w:name="page7"/>
    <w:bookmarkEnd w:id="6"/>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585470</wp:posOffset>
            </wp:positionV>
            <wp:extent cx="1829435" cy="763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94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SPECIAL MEETING OF STOCKHOLDERS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15, 2026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AEON Biopharma, Inc.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 Vantis Dr., Suite 170, Aliso Viejo, CA 92656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(949) 354-6499</w:t>
      </w:r>
    </w:p>
    <w:p>
      <w:pPr>
        <w:spacing w:after="0" w:line="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This Proxy Statement is furnished in connection with the Board's solicitation of proxies for use at the Special Meeting to be held on Tuesday, December 15, 2026, at 1:00 p.m. Pacific Time at 130 Vantis Dr., Suite 170, Aliso Viejo, CA 92656, and at any adjournment thereof. We expect to begin mailing the Notice of Internet Availability of Proxy Materials on or about October 26, 2026. “AEON,” “Company,” “we,” “us” and “our” refer to AEON Biopharma, Inc. and, where appropriate, its subsidiaries. The information in the Questions and Answers is provided for convenience and summarizes information elsewhere in this Proxy Statement.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QUESTIONS AND ANSWERS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Why am I receiving these materials?</w:t>
      </w:r>
    </w:p>
    <w:p>
      <w:pPr>
        <w:spacing w:after="0" w:line="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You are receiving these materials because you held Common Stock at the close of business on October 23, 2026, and the Board is soliciting your proxy. You do not need to attend the Special Meeting to vote. Your vote on each substantive proposal is important.</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proposals will be voted on?</w:t>
      </w:r>
    </w:p>
    <w:p>
      <w:pPr>
        <w:spacing w:after="0" w:line="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Stockholders will vote on the Reverse Stock Split Proposal, the Equity Plan Proposal, the ESPP Proposal and the Adjournment Proposal described in the Notice and Summary. The proposals are independent. No directors are being elected and no advisory executive compensation vote or auditor ratification is being requested at this Special Meeting. Only business specified in the Notice, and procedural matters properly incident to that business, may be transacted.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How does the Board recommend that I vote?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Board recommends that you vote:</w:t>
      </w:r>
    </w:p>
    <w:p>
      <w:pPr>
        <w:spacing w:after="0" w:line="93" w:lineRule="exact"/>
        <w:rPr>
          <w:sz w:val="20"/>
          <w:szCs w:val="20"/>
          <w:color w:val="auto"/>
        </w:rPr>
      </w:pPr>
    </w:p>
    <w:p>
      <w:pPr>
        <w:ind w:left="820" w:hanging="292"/>
        <w:spacing w:after="0"/>
        <w:tabs>
          <w:tab w:leader="none" w:pos="8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Proposal 1, the Reverse Stock Split Proposal;</w:t>
      </w:r>
    </w:p>
    <w:p>
      <w:pPr>
        <w:spacing w:after="0" w:line="1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Proposal 2, the Equity Plan Proposal;</w:t>
      </w:r>
    </w:p>
    <w:p>
      <w:pPr>
        <w:spacing w:after="0" w:line="1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Proposal 3, the ESPP Proposal; and</w:t>
      </w:r>
    </w:p>
    <w:p>
      <w:pPr>
        <w:spacing w:after="0" w:line="1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Proposal 4, the Adjournment Proposal.</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Who can vote and how many votes do I have?</w:t>
      </w:r>
    </w:p>
    <w:p>
      <w:pPr>
        <w:spacing w:after="0" w:line="93" w:lineRule="exact"/>
        <w:rPr>
          <w:sz w:val="20"/>
          <w:szCs w:val="20"/>
          <w:color w:val="auto"/>
        </w:rPr>
      </w:pPr>
    </w:p>
    <w:p>
      <w:pPr>
        <w:ind w:left="200" w:right="219"/>
        <w:spacing w:after="0" w:line="262" w:lineRule="auto"/>
        <w:rPr>
          <w:sz w:val="20"/>
          <w:szCs w:val="20"/>
          <w:color w:val="auto"/>
        </w:rPr>
      </w:pPr>
      <w:r>
        <w:rPr>
          <w:rFonts w:ascii="Arial" w:cs="Arial" w:eastAsia="Arial" w:hAnsi="Arial"/>
          <w:sz w:val="17"/>
          <w:szCs w:val="17"/>
          <w:color w:val="auto"/>
        </w:rPr>
        <w:t>Holders of record of Common Stock at the close of business on October 23, 2026 may vote. There were 59,084,675 shares outstanding and entitled to vote on that date. Each share has one vote on each proposal.</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7" w:name="page8"/>
    <w:bookmarkEnd w:id="7"/>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Holding an option, RSU, warrant, pre-funded warrant or convertible security does not itself entitle its holder to vote the underlying unissued shares.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How can I attend the Special Meeting?</w:t>
      </w:r>
    </w:p>
    <w:p>
      <w:pPr>
        <w:spacing w:after="0" w:line="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The Special Meeting will be held in person at 130 Vantis Dr., Suite 170, Aliso Viejo, CA 92656. Please bring government-issued photo identification and evidence of ownership as of October 23, 2026. If you hold your shares in street name, bring an account statement or other acceptable evidence from your intermediary. Attendance is distinct from the right to vote shares held by an intermediary: to vote those shares at the meeting, obtain a legal proxy from the record holder. You may ask questions about administrative procedures by writing to our Corporate Secretary at 130 Vantis Dr., Suite 170, Aliso Viejo, CA 92656.</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is the difference between a record holder and a beneficial owner?</w:t>
      </w:r>
    </w:p>
    <w:p>
      <w:pPr>
        <w:spacing w:after="0" w:line="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If your shares are registered directly in your name with our transfer agent, Continental Stock Transfer &amp; Trust Company, you are the record holder and receive our proxy card. If shares are held in a broker, bank or other nominee's name, you are a beneficial owner holding in “street name.” Your intermediary sends a voting instruction form. Follow that form to instruct the intermediary, and obtain a legal proxy if you wish to vote at the meeting.</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How do I vote without attending?</w:t>
      </w:r>
    </w:p>
    <w:p>
      <w:pPr>
        <w:spacing w:after="0" w:line="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Record holders may vote by Internet at www.proxyvote.com, by telephone at 1-800-690-6903, or by completing, signing, dating and mailing the proxy card you may have requested. Internet and telephone instructions are printed on the card. Beneficial owners must follow their intermediary's voting instruction form; the intermediary's methods and cutoffs may differ. To ensure timely receipt, submit Internet and telephone proxies by 11:59 PM ET on December 14, 2026 and ensure mailed proxies arrive by December 14, 2026. Voting at the meeting remains available to eligible holders until the polls close.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Can I change or revoke my proxy?</w:t>
      </w:r>
    </w:p>
    <w:p>
      <w:pPr>
        <w:spacing w:after="0" w:line="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A record holder may revoke a proxy before it is voted by delivering written revocation to the Corporate Secretary at 130 Vantis Dr., Suite 170, Aliso Viejo, CA 92656, submitting a later-dated valid proxy, voting again by Internet or telephone before the applicable cutoff, or attending and voting at the meeting. Attendance alone does not revoke a proxy. Beneficial owners should change instructions through their intermediary or obtain a legal proxy and vote at the meeting. A proxy is not irrevocable merely because it has been submitted.</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constitutes a quorum?</w:t>
      </w:r>
    </w:p>
    <w:p>
      <w:pPr>
        <w:spacing w:after="0" w:line="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presence, in person or by proxy, of holders of 33.34% in voting power of the shares entitled to vote constitutes a quorum under our bylaws. Abstentions and broker non-votes count toward quorum only if the corresponding shares are actually represented at the meeting. Unreturned cards and uninstructed street-name shares are not automatically present. If a quorum is absent, the meeting may be adjourned as permitted by our bylaws and applicable law.</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are broker non-votes and can my broker vote without instructions?</w:t>
      </w:r>
    </w:p>
    <w:p>
      <w:pPr>
        <w:spacing w:after="0" w:line="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A broker non-vote arises when an intermediary submits a proxy representing shares but lacks authority to vote them on a non-routine matter because the beneficial owner did not give instructions. The Equity Plan Proposal, ESPP Proposal and Adjournment Proposal are non-routine; brokers cannot vote on them without instructions. The Reverse Stock Split Proposal is routine; brokers may vote on it without instructions.</w:t>
      </w:r>
    </w:p>
    <w:p>
      <w:pPr>
        <w:spacing w:after="0" w:line="67"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Stockholders should instruct their intermediary on every proposal and should not rely on discretionary voting. Whether a broker can exercise discretion affects uninstructed shares, not the affirmative-vote standard shown below.</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8" w:name="page9"/>
    <w:bookmarkEnd w:id="8"/>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vote is required and what is the effect of abstentions and broker non-votes?</w:t>
      </w:r>
    </w:p>
    <w:p>
      <w:pPr>
        <w:spacing w:after="0" w:line="143" w:lineRule="exact"/>
        <w:rPr>
          <w:sz w:val="20"/>
          <w:szCs w:val="20"/>
          <w:color w:val="auto"/>
        </w:rPr>
      </w:pPr>
    </w:p>
    <w:p>
      <w:pPr>
        <w:ind w:left="720"/>
        <w:spacing w:after="0"/>
        <w:tabs>
          <w:tab w:leader="none" w:pos="3140" w:val="left"/>
          <w:tab w:leader="none" w:pos="5740" w:val="left"/>
          <w:tab w:leader="none" w:pos="7220" w:val="left"/>
        </w:tabs>
        <w:rPr>
          <w:sz w:val="20"/>
          <w:szCs w:val="20"/>
          <w:color w:val="auto"/>
        </w:rPr>
      </w:pPr>
      <w:r>
        <w:rPr>
          <w:rFonts w:ascii="Arial" w:cs="Arial" w:eastAsia="Arial" w:hAnsi="Arial"/>
          <w:sz w:val="17"/>
          <w:szCs w:val="17"/>
          <w:b w:val="1"/>
          <w:bCs w:val="1"/>
          <w:color w:val="auto"/>
        </w:rPr>
        <w:t>Proposal</w:t>
      </w:r>
      <w:r>
        <w:rPr>
          <w:sz w:val="20"/>
          <w:szCs w:val="20"/>
          <w:color w:val="auto"/>
        </w:rPr>
        <w:tab/>
      </w:r>
      <w:r>
        <w:rPr>
          <w:rFonts w:ascii="Arial" w:cs="Arial" w:eastAsia="Arial" w:hAnsi="Arial"/>
          <w:sz w:val="17"/>
          <w:szCs w:val="17"/>
          <w:b w:val="1"/>
          <w:bCs w:val="1"/>
          <w:color w:val="auto"/>
        </w:rPr>
        <w:t>Vote required</w:t>
      </w:r>
      <w:r>
        <w:rPr>
          <w:sz w:val="20"/>
          <w:szCs w:val="20"/>
          <w:color w:val="auto"/>
        </w:rPr>
        <w:tab/>
      </w:r>
      <w:r>
        <w:rPr>
          <w:rFonts w:ascii="Arial" w:cs="Arial" w:eastAsia="Arial" w:hAnsi="Arial"/>
          <w:sz w:val="17"/>
          <w:szCs w:val="17"/>
          <w:b w:val="1"/>
          <w:bCs w:val="1"/>
          <w:color w:val="auto"/>
        </w:rPr>
        <w:t>Abstentions</w:t>
      </w:r>
      <w:r>
        <w:rPr>
          <w:sz w:val="20"/>
          <w:szCs w:val="20"/>
          <w:color w:val="auto"/>
        </w:rPr>
        <w:tab/>
      </w:r>
      <w:r>
        <w:rPr>
          <w:rFonts w:ascii="Arial" w:cs="Arial" w:eastAsia="Arial" w:hAnsi="Arial"/>
          <w:sz w:val="16"/>
          <w:szCs w:val="16"/>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13970</wp:posOffset>
            </wp:positionV>
            <wp:extent cx="5455920" cy="262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5920" cy="26225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p>
      <w:pPr>
        <w:spacing w:after="0" w:line="34" w:lineRule="exact"/>
        <w:rPr>
          <w:sz w:val="20"/>
          <w:szCs w:val="20"/>
          <w:color w:val="auto"/>
        </w:rPr>
      </w:pPr>
    </w:p>
    <w:p>
      <w:pPr>
        <w:ind w:left="220"/>
        <w:spacing w:after="0" w:line="257" w:lineRule="auto"/>
        <w:rPr>
          <w:sz w:val="20"/>
          <w:szCs w:val="20"/>
          <w:color w:val="auto"/>
        </w:rPr>
      </w:pPr>
      <w:r>
        <w:rPr>
          <w:rFonts w:ascii="Arial" w:cs="Arial" w:eastAsia="Arial" w:hAnsi="Arial"/>
          <w:sz w:val="17"/>
          <w:szCs w:val="17"/>
          <w:color w:val="auto"/>
        </w:rPr>
        <w:t>1 — Reverse Stock Split</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 — Equity Plan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 — ESPP</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 — Adjournment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Affirmative vote of a majority in voting power of votes cast; FOR must exceed AGAINST.</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Affirmative vote of a majority in voting power of votes cast; FOR must exceed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-1270</wp:posOffset>
            </wp:positionV>
            <wp:extent cx="5455920" cy="254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5920" cy="254635"/>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6"/>
          <w:szCs w:val="16"/>
          <w:color w:val="auto"/>
        </w:rPr>
        <w:t>Affirmative vote of a majority in voting power of votes cast; FOR must exceed AGAINST.</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Affirmative vote of a majority in voting power of votes cast; FOR must exceed AGAINST.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20" w:type="dxa"/>
            <w:vAlign w:val="bottom"/>
            <w:vMerge w:val="restart"/>
          </w:tcPr>
          <w:p>
            <w:pPr>
              <w:spacing w:after="0"/>
              <w:rPr>
                <w:sz w:val="20"/>
                <w:szCs w:val="20"/>
                <w:color w:val="auto"/>
              </w:rPr>
            </w:pPr>
            <w:r>
              <w:rPr>
                <w:rFonts w:ascii="Arial" w:cs="Arial" w:eastAsia="Arial" w:hAnsi="Arial"/>
                <w:sz w:val="17"/>
                <w:szCs w:val="17"/>
                <w:color w:val="auto"/>
              </w:rPr>
              <w:t>No effect</w:t>
            </w:r>
          </w:p>
        </w:tc>
        <w:tc>
          <w:tcPr>
            <w:tcW w:w="1600" w:type="dxa"/>
            <w:vAlign w:val="bottom"/>
          </w:tcPr>
          <w:p>
            <w:pPr>
              <w:ind w:left="260"/>
              <w:spacing w:after="0"/>
              <w:rPr>
                <w:sz w:val="20"/>
                <w:szCs w:val="20"/>
                <w:color w:val="auto"/>
              </w:rPr>
            </w:pPr>
            <w:r>
              <w:rPr>
                <w:rFonts w:ascii="Arial" w:cs="Arial" w:eastAsia="Arial" w:hAnsi="Arial"/>
                <w:sz w:val="17"/>
                <w:szCs w:val="17"/>
                <w:color w:val="auto"/>
                <w:w w:val="96"/>
              </w:rPr>
              <w:t>No effect on votes</w:t>
            </w: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600" w:type="dxa"/>
            <w:vAlign w:val="bottom"/>
            <w:vMerge w:val="restart"/>
          </w:tcPr>
          <w:p>
            <w:pPr>
              <w:ind w:left="260"/>
              <w:spacing w:after="0"/>
              <w:rPr>
                <w:sz w:val="20"/>
                <w:szCs w:val="20"/>
                <w:color w:val="auto"/>
              </w:rPr>
            </w:pPr>
            <w:r>
              <w:rPr>
                <w:rFonts w:ascii="Arial" w:cs="Arial" w:eastAsia="Arial" w:hAnsi="Arial"/>
                <w:sz w:val="17"/>
                <w:szCs w:val="17"/>
                <w:color w:val="auto"/>
              </w:rPr>
              <w:t>cast</w:t>
            </w:r>
          </w:p>
        </w:tc>
        <w:tc>
          <w:tcPr>
            <w:tcW w:w="0" w:type="dxa"/>
            <w:vAlign w:val="bottom"/>
          </w:tcPr>
          <w:p>
            <w:pPr>
              <w:spacing w:after="0"/>
              <w:rPr>
                <w:sz w:val="1"/>
                <w:szCs w:val="1"/>
                <w:color w:val="auto"/>
              </w:rPr>
            </w:pPr>
          </w:p>
        </w:tc>
      </w:tr>
      <w:tr>
        <w:trPr>
          <w:trHeight w:val="92"/>
        </w:trPr>
        <w:tc>
          <w:tcPr>
            <w:tcW w:w="92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920" w:type="dxa"/>
            <w:vAlign w:val="bottom"/>
            <w:vMerge w:val="restart"/>
          </w:tcPr>
          <w:p>
            <w:pPr>
              <w:spacing w:after="0"/>
              <w:rPr>
                <w:sz w:val="20"/>
                <w:szCs w:val="20"/>
                <w:color w:val="auto"/>
              </w:rPr>
            </w:pPr>
            <w:r>
              <w:rPr>
                <w:rFonts w:ascii="Arial" w:cs="Arial" w:eastAsia="Arial" w:hAnsi="Arial"/>
                <w:sz w:val="17"/>
                <w:szCs w:val="17"/>
                <w:color w:val="auto"/>
              </w:rPr>
              <w:t>No effect</w:t>
            </w:r>
          </w:p>
        </w:tc>
        <w:tc>
          <w:tcPr>
            <w:tcW w:w="1600" w:type="dxa"/>
            <w:vAlign w:val="bottom"/>
          </w:tcPr>
          <w:p>
            <w:pPr>
              <w:ind w:left="260"/>
              <w:spacing w:after="0" w:line="188" w:lineRule="exact"/>
              <w:rPr>
                <w:sz w:val="20"/>
                <w:szCs w:val="20"/>
                <w:color w:val="auto"/>
              </w:rPr>
            </w:pPr>
            <w:r>
              <w:rPr>
                <w:rFonts w:ascii="Arial" w:cs="Arial" w:eastAsia="Arial" w:hAnsi="Arial"/>
                <w:sz w:val="17"/>
                <w:szCs w:val="17"/>
                <w:color w:val="auto"/>
                <w:w w:val="96"/>
              </w:rPr>
              <w:t>No effect on votes</w:t>
            </w: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600" w:type="dxa"/>
            <w:vAlign w:val="bottom"/>
            <w:vMerge w:val="restart"/>
          </w:tcPr>
          <w:p>
            <w:pPr>
              <w:ind w:left="260"/>
              <w:spacing w:after="0"/>
              <w:rPr>
                <w:sz w:val="20"/>
                <w:szCs w:val="20"/>
                <w:color w:val="auto"/>
              </w:rPr>
            </w:pPr>
            <w:r>
              <w:rPr>
                <w:rFonts w:ascii="Arial" w:cs="Arial" w:eastAsia="Arial" w:hAnsi="Arial"/>
                <w:sz w:val="17"/>
                <w:szCs w:val="17"/>
                <w:color w:val="auto"/>
              </w:rPr>
              <w:t>cast</w:t>
            </w:r>
          </w:p>
        </w:tc>
        <w:tc>
          <w:tcPr>
            <w:tcW w:w="0" w:type="dxa"/>
            <w:vAlign w:val="bottom"/>
          </w:tcPr>
          <w:p>
            <w:pPr>
              <w:spacing w:after="0"/>
              <w:rPr>
                <w:sz w:val="1"/>
                <w:szCs w:val="1"/>
                <w:color w:val="auto"/>
              </w:rPr>
            </w:pPr>
          </w:p>
        </w:tc>
      </w:tr>
      <w:tr>
        <w:trPr>
          <w:trHeight w:val="92"/>
        </w:trPr>
        <w:tc>
          <w:tcPr>
            <w:tcW w:w="92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920" w:type="dxa"/>
            <w:vAlign w:val="bottom"/>
            <w:vMerge w:val="restart"/>
          </w:tcPr>
          <w:p>
            <w:pPr>
              <w:spacing w:after="0"/>
              <w:rPr>
                <w:sz w:val="20"/>
                <w:szCs w:val="20"/>
                <w:color w:val="auto"/>
              </w:rPr>
            </w:pPr>
            <w:r>
              <w:rPr>
                <w:rFonts w:ascii="Arial" w:cs="Arial" w:eastAsia="Arial" w:hAnsi="Arial"/>
                <w:sz w:val="17"/>
                <w:szCs w:val="17"/>
                <w:color w:val="auto"/>
              </w:rPr>
              <w:t>No effect</w:t>
            </w:r>
          </w:p>
        </w:tc>
        <w:tc>
          <w:tcPr>
            <w:tcW w:w="1600" w:type="dxa"/>
            <w:vAlign w:val="bottom"/>
          </w:tcPr>
          <w:p>
            <w:pPr>
              <w:ind w:left="260"/>
              <w:spacing w:after="0" w:line="188" w:lineRule="exact"/>
              <w:rPr>
                <w:sz w:val="20"/>
                <w:szCs w:val="20"/>
                <w:color w:val="auto"/>
              </w:rPr>
            </w:pPr>
            <w:r>
              <w:rPr>
                <w:rFonts w:ascii="Arial" w:cs="Arial" w:eastAsia="Arial" w:hAnsi="Arial"/>
                <w:sz w:val="17"/>
                <w:szCs w:val="17"/>
                <w:color w:val="auto"/>
                <w:w w:val="96"/>
              </w:rPr>
              <w:t>No effect on votes</w:t>
            </w: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600" w:type="dxa"/>
            <w:vAlign w:val="bottom"/>
            <w:vMerge w:val="restart"/>
          </w:tcPr>
          <w:p>
            <w:pPr>
              <w:ind w:left="260"/>
              <w:spacing w:after="0"/>
              <w:rPr>
                <w:sz w:val="20"/>
                <w:szCs w:val="20"/>
                <w:color w:val="auto"/>
              </w:rPr>
            </w:pPr>
            <w:r>
              <w:rPr>
                <w:rFonts w:ascii="Arial" w:cs="Arial" w:eastAsia="Arial" w:hAnsi="Arial"/>
                <w:sz w:val="17"/>
                <w:szCs w:val="17"/>
                <w:color w:val="auto"/>
              </w:rPr>
              <w:t>cast</w:t>
            </w:r>
          </w:p>
        </w:tc>
        <w:tc>
          <w:tcPr>
            <w:tcW w:w="0" w:type="dxa"/>
            <w:vAlign w:val="bottom"/>
          </w:tcPr>
          <w:p>
            <w:pPr>
              <w:spacing w:after="0"/>
              <w:rPr>
                <w:sz w:val="1"/>
                <w:szCs w:val="1"/>
                <w:color w:val="auto"/>
              </w:rPr>
            </w:pPr>
          </w:p>
        </w:tc>
      </w:tr>
      <w:tr>
        <w:trPr>
          <w:trHeight w:val="92"/>
        </w:trPr>
        <w:tc>
          <w:tcPr>
            <w:tcW w:w="92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920" w:type="dxa"/>
            <w:vAlign w:val="bottom"/>
            <w:vMerge w:val="restart"/>
          </w:tcPr>
          <w:p>
            <w:pPr>
              <w:spacing w:after="0"/>
              <w:rPr>
                <w:sz w:val="20"/>
                <w:szCs w:val="20"/>
                <w:color w:val="auto"/>
              </w:rPr>
            </w:pPr>
            <w:r>
              <w:rPr>
                <w:rFonts w:ascii="Arial" w:cs="Arial" w:eastAsia="Arial" w:hAnsi="Arial"/>
                <w:sz w:val="17"/>
                <w:szCs w:val="17"/>
                <w:color w:val="auto"/>
              </w:rPr>
              <w:t>No effect</w:t>
            </w:r>
          </w:p>
        </w:tc>
        <w:tc>
          <w:tcPr>
            <w:tcW w:w="1600" w:type="dxa"/>
            <w:vAlign w:val="bottom"/>
          </w:tcPr>
          <w:p>
            <w:pPr>
              <w:ind w:left="260"/>
              <w:spacing w:after="0" w:line="188" w:lineRule="exact"/>
              <w:rPr>
                <w:sz w:val="20"/>
                <w:szCs w:val="20"/>
                <w:color w:val="auto"/>
              </w:rPr>
            </w:pPr>
            <w:r>
              <w:rPr>
                <w:rFonts w:ascii="Arial" w:cs="Arial" w:eastAsia="Arial" w:hAnsi="Arial"/>
                <w:sz w:val="17"/>
                <w:szCs w:val="17"/>
                <w:color w:val="auto"/>
                <w:w w:val="96"/>
              </w:rPr>
              <w:t>No effect on votes</w:t>
            </w: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600" w:type="dxa"/>
            <w:vAlign w:val="bottom"/>
            <w:vMerge w:val="restart"/>
          </w:tcPr>
          <w:p>
            <w:pPr>
              <w:ind w:left="260"/>
              <w:spacing w:after="0"/>
              <w:rPr>
                <w:sz w:val="20"/>
                <w:szCs w:val="20"/>
                <w:color w:val="auto"/>
              </w:rPr>
            </w:pPr>
            <w:r>
              <w:rPr>
                <w:rFonts w:ascii="Arial" w:cs="Arial" w:eastAsia="Arial" w:hAnsi="Arial"/>
                <w:sz w:val="17"/>
                <w:szCs w:val="17"/>
                <w:color w:val="auto"/>
              </w:rPr>
              <w:t>cast</w:t>
            </w:r>
          </w:p>
        </w:tc>
        <w:tc>
          <w:tcPr>
            <w:tcW w:w="0" w:type="dxa"/>
            <w:vAlign w:val="bottom"/>
          </w:tcPr>
          <w:p>
            <w:pPr>
              <w:spacing w:after="0"/>
              <w:rPr>
                <w:sz w:val="1"/>
                <w:szCs w:val="1"/>
                <w:color w:val="auto"/>
              </w:rPr>
            </w:pPr>
          </w:p>
        </w:tc>
      </w:tr>
      <w:tr>
        <w:trPr>
          <w:trHeight w:val="100"/>
        </w:trPr>
        <w:tc>
          <w:tcPr>
            <w:tcW w:w="92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3">
            <w:col w:w="1660" w:space="300"/>
            <w:col w:w="3280" w:space="680"/>
            <w:col w:w="3099"/>
          </w:cols>
          <w:pgMar w:left="1440" w:top="626" w:right="1440" w:bottom="1440" w:gutter="0" w:footer="0" w:header="0"/>
          <w:type w:val="continuous"/>
        </w:sectPr>
      </w:pPr>
    </w:p>
    <w:p>
      <w:pPr>
        <w:jc w:val="both"/>
        <w:ind w:left="200" w:right="219"/>
        <w:spacing w:after="0" w:line="235" w:lineRule="auto"/>
        <w:rPr>
          <w:sz w:val="20"/>
          <w:szCs w:val="20"/>
          <w:color w:val="auto"/>
        </w:rPr>
      </w:pPr>
      <w:r>
        <w:rPr>
          <w:rFonts w:ascii="Arial" w:cs="Arial" w:eastAsia="Arial" w:hAnsi="Arial"/>
          <w:sz w:val="17"/>
          <w:szCs w:val="17"/>
          <w:color w:val="auto"/>
        </w:rPr>
        <w:t>For Proposal 1, our Common Stock is listed on the Exchange and the proposed amendment would decrease issued shares without changing their par value or the authorized shares. The Certificate of Incorporation does not expressly require a different vote for this amendment. The Company will implement the proposed amendment under Section 242(d)(2) of the Delaware General Corporation Law (the “DGCL”) only if the Common Stock is listed on a national securities exchange immediately before effectiveness and meets that exchange's minimum-holder requirements immediately after effectiveness. If those conditions fail, it will not implement the proposed amendment unless the vote otherwise satisfies the applicable DGCL Section 242(b) outstanding-share requirements or a new sufficient vote is obtained. All four votes assume a quorum is present, except any adjournment permitted without quorum under applicable law and our bylaws. A tie fails.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How will shares be voted if I sign but do not specify a choice?</w:t>
      </w:r>
    </w:p>
    <w:p>
      <w:pPr>
        <w:spacing w:after="0" w:line="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Shares represented by a properly signed proxy received before the vote will be voted at the Special Meeting in accordance with the choices specified on the proxy. A properly signed record-holder proxy card returned without choices will be voted “FOR” all four proposals. A beneficial owner's blank voting instruction form is handled under its intermediary's rules and must not be assumed to authorize all four votes. If you give no instructions and your intermediary lacks discretionary authority, it cannot vote your shares on that proposal. The proxy holders may exercise only the discretion permitted by Rule 14a-4 on matters properly incident to the conduct of the meeting.</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Why did I receive more than one card or form?</w:t>
      </w:r>
    </w:p>
    <w:p>
      <w:pPr>
        <w:spacing w:after="0" w:line="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You may have shares in multiple accounts or registered in different names. Vote each card or form to ensure all shares are represented. A vote for one account does not necessarily cover another.</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Who is making this solicitation and who pays the expenses?</w:t>
      </w:r>
    </w:p>
    <w:p>
      <w:pPr>
        <w:spacing w:after="0" w:line="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Board is making this solicitation and the Company pays its cost. Directors, officers and regular employees may solicit personally, by telephone or electronically without additional compensation. We will reimburse intermediaries for reasonable expenses of forwarding materials. We have no plans to retain any firms or otherwise incur any extraordinary expense in connection with the solicitation.</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Where can I inspect the stockholder list?</w:t>
      </w:r>
    </w:p>
    <w:p>
      <w:pPr>
        <w:spacing w:after="0" w:line="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A complete list of stockholders entitled to vote will be available for examination for any purpose germane to the meeting during the ten-day period ending on the day before the meeting, during ordinary business hours at 130 Vantis Dr., Suite 170, Aliso Viejo, CA 92656. Delaware law does not require that we make the list available during the meeting.</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9" w:name="page10"/>
    <w:bookmarkEnd w:id="9"/>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is householding and how can I obtain a separate copy?</w:t>
      </w:r>
    </w:p>
    <w:p>
      <w:pPr>
        <w:spacing w:after="0" w:line="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Under SEC-permitted householding procedures, only one copy of this Proxy Statement is being delivered to multiple stockholders sharing an address unless we have received contrary instructions from one or more of those stockholders, while separate proxy cards or voting instructions are provided. We will promptly deliver a separate copy of this Proxy Statement upon written or oral request to our Corporate Secretary at 130 Vantis Dr., Suite 170, Aliso Viejo, CA 92656 or (949) 354-6499. Contact the same person to request separate or combined mailings in the future. Beneficial owners should also contact their intermediary concerning its householding practices.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May the meeting be adjourned or postponed?</w:t>
      </w:r>
    </w:p>
    <w:p>
      <w:pPr>
        <w:spacing w:after="0" w:line="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The Board may postpone the meeting as permitted by our bylaws and applicable law. The Adjournment Proposal seeks stockholder authority to adjourn to solicit further votes on any substantive proposal. Adjournment changes neither the approved scope nor the vote needed for the substantive proposals. If an adjournment is for more than 30 days, notice of the adjourned meeting must be given as required by Delaware law. If a new voting record date is fixed, the Board must also fix a notice record date as required by DGCL Sections 213 and 222. An adjourned date, time and place, or remote communication details, will be announced or provided as permitted by law.</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Where will voting results be reported?</w:t>
      </w:r>
    </w:p>
    <w:p>
      <w:pPr>
        <w:spacing w:after="0" w:line="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inspector of election will tabulate votes. We intend to announce preliminary results at the meeting and disclose final results in a Form 8-K within four business days. If final results are unavailable, we will disclose preliminary results and amend the Form 8-K within four business days after final results become known, as required by Item 5.07.</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Who can help me vote or answer questions?</w:t>
      </w:r>
    </w:p>
    <w:p>
      <w:pPr>
        <w:spacing w:after="0" w:line="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Contact our Corporate Secretary at (949) 354-6499 or investor.relations@aeonbiopharma.com, or contact your intermediary, for assistance. Questions for the Corporate Secretary may be directed to 130 Vantis Dr., Suite 170, Aliso Viejo, CA 92656. This Proxy Statement and the proxy card will be available at www.proxyvote.com.</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BACKGROUND FOR THE SPECIAL MEETING</w:t>
      </w:r>
    </w:p>
    <w:p>
      <w:pPr>
        <w:spacing w:after="0" w:line="9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The Board is seeking advance authority to respond to future trading and listing conditions without having to convene another meeting before implementing a reverse stock split, and to make limited changes to the existing denominators used to calculate the annual evergreen share pool increases under the Plan and the ESPP. The Company's prior 1-for-72 reverse stock split became effective on February 26, 2025, after stockholders authorized a 1-for-5 to 1-for-150 range. That prior approval does not authorize the split sought at this meeting. Under the Compliance Condition, the split must comply with applicable laws, rules and regulations, including the applicable rules and requirements of the Exchange. Accordingly, while the prior split remains in the Exchange's applicable lookback, any split must use a ratio that, together with the prior split, complies with the Exchange’s cumulative-ratio limit, as well as other applicable laws and regulations.</w:t>
      </w:r>
    </w:p>
    <w:p>
      <w:pPr>
        <w:spacing w:after="0" w:line="68" w:lineRule="exact"/>
        <w:rPr>
          <w:sz w:val="20"/>
          <w:szCs w:val="20"/>
          <w:color w:val="auto"/>
        </w:rPr>
      </w:pPr>
    </w:p>
    <w:p>
      <w:pPr>
        <w:jc w:val="both"/>
        <w:ind w:left="200" w:right="219"/>
        <w:spacing w:after="0" w:line="261" w:lineRule="auto"/>
        <w:rPr>
          <w:sz w:val="20"/>
          <w:szCs w:val="20"/>
          <w:color w:val="auto"/>
        </w:rPr>
      </w:pPr>
      <w:r>
        <w:rPr>
          <w:rFonts w:ascii="Arial" w:cs="Arial" w:eastAsia="Arial" w:hAnsi="Arial"/>
          <w:sz w:val="16"/>
          <w:szCs w:val="16"/>
          <w:color w:val="auto"/>
        </w:rPr>
        <w:t>On October 5, 2026, the Compensation Committee reviewed and expressed support for the limited-purpose Plan and ESPP amendments. On October 7, 2026, the Board determined that the charter amendment and the limited-purpose Plan and ESPP amendments were advisable and in the best interests of the Company and its stockholders, approved the proposals for submission, recommended stockholder approval and authorized the Special Meeting.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0" w:name="page11"/>
    <w:bookmarkEnd w:id="10"/>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PROPOSAL 1 — THE REVERSE STOCK SPLIT PROPOSAL</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Overview and stockholder authorization</w:t>
      </w:r>
    </w:p>
    <w:p>
      <w:pPr>
        <w:spacing w:after="0" w:line="9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We ask stockholders to authorize the Board to amend the Certificate of Incorporation to effect one reverse stock split of Common Stock at any ratio from 1-for-2 through 1-for-100 selected by the Board, during the 12 months following stockholder approval, subject to the Compliance Condition, with authority to abandon the split. Appendix A contains the form of Certificate of Amendment. The Board will select the final ratio and effective time, if any, within this authority. The authority may be exercised only before the first anniversary of stockholder approval. Stockholder approval does not select a ratio or implementation date, cause an immediate split, or require a split. No additional stockholder vote will be sought for a selection within the approved authority, unless then required by law or Exchange rules. The Board may abandon the split before effectiveness under DGCL Section 242(c).</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Compliance Condition and cumulative ratio limit</w:t>
      </w:r>
    </w:p>
    <w:p>
      <w:pPr>
        <w:spacing w:after="0" w:line="93"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The authorization period ends at 12:00 a.m. Eastern Time on the first anniversary of stockholder approval; effectiveness must precede that deadline. The Board may not effect the split unless and until it complies with applicable laws, rules and regulations, including the applicable rules and requirements of the Exchange. Those requirements include the Exchange’s reverse-split suspension and delisting rules, which take into account the prior 1-for-72 split, effective on February 26, 2025, to the extent it remains within the Exchange’s then-applicable lookback, and any other split within that lookback, as well as the Exchange’s continued listing requirements. This requirement is the Compliance Condition. The Company will not implement a split in violation of it. It will also confirm that the conditions of DGCL Section 242(d)(2) remain satisfied at the effectiveness of the split, including national-exchange listing immediately before and the applicable minimum-holder requirement immediately after effectiveness, or that the stockholder vote otherwise satisfies the applicable Delaware requirements.</w:t>
      </w:r>
    </w:p>
    <w:p>
      <w:pPr>
        <w:spacing w:after="0" w:line="73"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color w:val="auto"/>
        </w:rPr>
        <w:t>Section 1003(f)(vi) of the NYSE American Company Guide (the “Company Guide”) requires suspension and delisting proceedings if an issuer effects one or more reverse splits with a cumulative ratio of 200 shares or more to one during a two-year period. Cumulative ratios multiply rather than add. For example, a 1-for-3 reverse stock split following the Company’s prior 1-for-72 reverse stock split would result in a cumulative ratio of 1-for-216, while a 1-for-2 reverse stock split would result in a cumulative ratio of 1-for-144. Accordingly, if the reverse stock split becomes effective within two years after the February 26, 2025 effective date of the prior 1-for-72 split, such that the prior split must be included in the cumulative-ratio calculation, the selected ratio would need to be less than approximately 1-for-2.78 to remain below the current threshold, assuming no intervening split. For example, a 1-for-2.75 reverse stock split would result in a cumulative ratio of 1-for-198. Once the prior split falls outside the lookback period, a ratio of up to 1-for-100 would remain below the current threshold of 200 shares or more to one, assuming no intervening split. The Board may select a substantially lower ratio. Stockholder approval of a maximum ratio of 1-for-100 does not mean that such a ratio will be operationally appropriate or permissible in the Company's circumstances.</w:t>
      </w:r>
    </w:p>
    <w:p>
      <w:pPr>
        <w:spacing w:after="0" w:line="76"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A more permissive rule will not expand the 1-for-100 ceiling. If there is no permissible ratio of at least 1-for-2, no split may be implemented under this authority. The Board may not use this approval for multiple splits. If approved, the Board’s authority to approve the final ratio and implement the split would end immediately before the first anniversary of stockholder approval whether or not the Compliance Condition has then been satisfied.</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Reasons for the proposal and Board considerations</w:t>
      </w:r>
    </w:p>
    <w:p>
      <w:pPr>
        <w:spacing w:after="0" w:line="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The Board believes advance authority may give the Company flexibility to address low-price listing concerns and trading conditions. A higher nominal price may broaden the range of investors or brokers willing to trade our stock, but no such result is assured. The Board will consider the trading price and volatility, market conditions, the available public float and holder base, potential liquidity and odd-lot effects, listing requirements, capitalization and outstanding instrument terms, costs and the Company's business needs. It may conclude that no split is desirable or that a lower ratio is preferable.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1" w:name="page12"/>
    <w:bookmarkEnd w:id="11"/>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Approval does not extend any compliance deadline that may arise. A reverse split addresses nominal share counts and per-share price; we do not expect that it will remedy an equity, market capitalization, financial condition or operational deficiency.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Exchange listing considerations and risks</w:t>
      </w:r>
    </w:p>
    <w:p>
      <w:pPr>
        <w:spacing w:after="0" w:line="93"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6"/>
          <w:szCs w:val="16"/>
          <w:color w:val="auto"/>
        </w:rPr>
        <w:t>In addition to the cumulative-ratio restriction, Section 1003(f)(vii) of the Company Guide provides for suspension and delisting if a reverse split causes noncompliance with a continued listing criterion. Such criteria include maintaining at least 200,000 qualifying publicly held shares, at least 300 holders of qualifying publicly held shares and other applicable market value and continued listing requirements. The Exchange's current definitions of qualifying public holdings must be applied; all outstanding shares are not necessarily public shares. The Exchange retains discretionary authority to suspend or delist securities in circumstances that make continued dealings unwarranted.</w:t>
      </w:r>
    </w:p>
    <w:p>
      <w:pPr>
        <w:spacing w:after="0" w:line="59"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A rule approved by the SEC provides that, beginning July 1, 2027, a closing price below $ 0.25 on any trading day will result in immediate suspension and commencement of delisting proceedings, without the ability to follow the procedures under Section 1009 of the Company Guide with respect to that criterion, although the Company would retain the right to appeal a delisting decision. The Exchange also retains authority concerning precipitous price declines and abnormally low prices. The Company's prior split aging out of the two-year lookback period under Section 1003(f)(vi) of the Company Guide does not protect against these or other listing risks before or after implementation. The rule and its effective date will be evaluated by the Board at the time of any split, in addition to the other continued listing criterion under Section 1003(f)(vii) of the Company Guide.</w:t>
      </w:r>
    </w:p>
    <w:p>
      <w:pPr>
        <w:spacing w:after="0" w:line="72"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A reverse split cannot assure the continued listing of our stock or that the stock price will increase proportionately or remain higher. The market may respond adversely, and business performance, financing, sales by holders and market conditions may outweigh its mechanical effect. Lower outstanding share counts can reduce trading liquidity, increase volatility and spreads, and make price declines more pronounced. Holders may own odd lots, which may incur higher transaction costs or trade less readily. A split could leave fewer holders or publicly held shares and therefore itself create a listing problem. The Board is prohibited from implementing a split that causes such noncompliance.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Effect on outstanding shares and stockholder rights</w:t>
      </w:r>
    </w:p>
    <w:p>
      <w:pPr>
        <w:spacing w:after="0" w:line="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At effectiveness, every N issued shares of Common Stock, including treasury shares if any, will be combined into one share, where N is the ratio selected by the Board from 2 through 100. The conversion occurs automatically without action by holders. Except for fractional-share rounding, all holders are affected proportionately and relative ownership and voting power remain the same. The number of votes represented by each post-split share remains one. Par value remains $0.0001. Common Stock rights, preferences and privileges otherwise remain unchanged.</w:t>
      </w:r>
    </w:p>
    <w:p>
      <w:pPr>
        <w:spacing w:after="0" w:line="70"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table illustrates share-count mechanics and does not select a ratio or predict trading prices. The historical counts are as of October 23, 2026 and assume no subsequent issuance, exercise, conversion, repurchase or other change. The illustrations apply simple proportional division, before holder-level rounding and instrument-specific adjustments. Final counts depend on capitalization at effectiveness and rounding.</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2" w:name="page13"/>
    <w:bookmarkEnd w:id="12"/>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20"/>
        <w:spacing w:after="0"/>
        <w:tabs>
          <w:tab w:leader="none" w:pos="3240" w:val="left"/>
          <w:tab w:leader="none" w:pos="4780" w:val="left"/>
          <w:tab w:leader="none" w:pos="6180" w:val="left"/>
          <w:tab w:leader="none" w:pos="7620" w:val="left"/>
        </w:tabs>
        <w:rPr>
          <w:sz w:val="20"/>
          <w:szCs w:val="20"/>
          <w:color w:val="auto"/>
        </w:rPr>
      </w:pPr>
      <w:r>
        <w:rPr>
          <w:rFonts w:ascii="Arial" w:cs="Arial" w:eastAsia="Arial" w:hAnsi="Arial"/>
          <w:sz w:val="14"/>
          <w:szCs w:val="14"/>
          <w:b w:val="1"/>
          <w:bCs w:val="1"/>
          <w:color w:val="auto"/>
        </w:rPr>
        <w:t>Item</w:t>
      </w:r>
      <w:r>
        <w:rPr>
          <w:sz w:val="20"/>
          <w:szCs w:val="20"/>
          <w:color w:val="auto"/>
        </w:rPr>
        <w:tab/>
      </w:r>
      <w:r>
        <w:rPr>
          <w:rFonts w:ascii="Arial" w:cs="Arial" w:eastAsia="Arial" w:hAnsi="Arial"/>
          <w:sz w:val="14"/>
          <w:szCs w:val="14"/>
          <w:b w:val="1"/>
          <w:bCs w:val="1"/>
          <w:color w:val="auto"/>
        </w:rPr>
        <w:t>Before split</w:t>
      </w:r>
      <w:r>
        <w:rPr>
          <w:sz w:val="20"/>
          <w:szCs w:val="20"/>
          <w:color w:val="auto"/>
        </w:rPr>
        <w:tab/>
      </w:r>
      <w:r>
        <w:rPr>
          <w:rFonts w:ascii="Arial" w:cs="Arial" w:eastAsia="Arial" w:hAnsi="Arial"/>
          <w:sz w:val="14"/>
          <w:szCs w:val="14"/>
          <w:b w:val="1"/>
          <w:bCs w:val="1"/>
          <w:color w:val="auto"/>
        </w:rPr>
        <w:t>At 1-for-2</w:t>
      </w:r>
      <w:r>
        <w:rPr>
          <w:sz w:val="20"/>
          <w:szCs w:val="20"/>
          <w:color w:val="auto"/>
        </w:rPr>
        <w:tab/>
      </w:r>
      <w:r>
        <w:rPr>
          <w:rFonts w:ascii="Arial" w:cs="Arial" w:eastAsia="Arial" w:hAnsi="Arial"/>
          <w:sz w:val="14"/>
          <w:szCs w:val="14"/>
          <w:b w:val="1"/>
          <w:bCs w:val="1"/>
          <w:color w:val="auto"/>
        </w:rPr>
        <w:t>At 1-for-50</w:t>
      </w:r>
      <w:r>
        <w:rPr>
          <w:sz w:val="20"/>
          <w:szCs w:val="20"/>
          <w:color w:val="auto"/>
        </w:rPr>
        <w:tab/>
      </w:r>
      <w:r>
        <w:rPr>
          <w:rFonts w:ascii="Arial" w:cs="Arial" w:eastAsia="Arial" w:hAnsi="Arial"/>
          <w:sz w:val="14"/>
          <w:szCs w:val="14"/>
          <w:b w:val="1"/>
          <w:bCs w:val="1"/>
          <w:color w:val="auto"/>
        </w:rPr>
        <w:t>At 1-for-100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27940</wp:posOffset>
            </wp:positionV>
            <wp:extent cx="5455920" cy="15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5920" cy="151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p>
      <w:pPr>
        <w:spacing w:after="0" w:line="7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Authorized Common Stock</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Issued Common Stock including treasury</w:t>
      </w:r>
    </w:p>
    <w:p>
      <w:pPr>
        <w:spacing w:after="0" w:line="215" w:lineRule="exact"/>
        <w:rPr>
          <w:sz w:val="20"/>
          <w:szCs w:val="20"/>
          <w:color w:val="auto"/>
        </w:rPr>
      </w:pPr>
    </w:p>
    <w:p>
      <w:pPr>
        <w:ind w:left="240" w:right="800"/>
        <w:spacing w:after="0" w:line="392" w:lineRule="auto"/>
        <w:rPr>
          <w:sz w:val="20"/>
          <w:szCs w:val="20"/>
          <w:color w:val="auto"/>
        </w:rPr>
      </w:pPr>
      <w:r>
        <w:rPr>
          <w:rFonts w:ascii="Arial" w:cs="Arial" w:eastAsia="Arial" w:hAnsi="Arial"/>
          <w:sz w:val="14"/>
          <w:szCs w:val="14"/>
          <w:color w:val="auto"/>
        </w:rPr>
        <w:t>Outstanding Common Stock Treasury Common Stock</w:t>
      </w:r>
    </w:p>
    <w:p>
      <w:pPr>
        <w:ind w:left="240" w:right="100"/>
        <w:spacing w:after="0" w:line="261" w:lineRule="auto"/>
        <w:rPr>
          <w:sz w:val="20"/>
          <w:szCs w:val="20"/>
          <w:color w:val="auto"/>
        </w:rPr>
      </w:pPr>
      <w:r>
        <w:rPr>
          <w:rFonts w:ascii="Arial" w:cs="Arial" w:eastAsia="Arial" w:hAnsi="Arial"/>
          <w:sz w:val="14"/>
          <w:szCs w:val="14"/>
          <w:color w:val="auto"/>
        </w:rPr>
        <w:t>Shares reserved for all instruments and plans</w:t>
      </w:r>
    </w:p>
    <w:p>
      <w:pPr>
        <w:spacing w:after="0" w:line="26" w:lineRule="exact"/>
        <w:rPr>
          <w:sz w:val="20"/>
          <w:szCs w:val="20"/>
          <w:color w:val="auto"/>
        </w:rPr>
      </w:pPr>
    </w:p>
    <w:p>
      <w:pPr>
        <w:ind w:left="240" w:right="280"/>
        <w:spacing w:after="0" w:line="261" w:lineRule="auto"/>
        <w:rPr>
          <w:sz w:val="20"/>
          <w:szCs w:val="20"/>
          <w:color w:val="auto"/>
        </w:rPr>
      </w:pPr>
      <w:r>
        <w:rPr>
          <w:rFonts w:ascii="Arial" w:cs="Arial" w:eastAsia="Arial" w:hAnsi="Arial"/>
          <w:sz w:val="14"/>
          <w:szCs w:val="14"/>
          <w:color w:val="auto"/>
        </w:rPr>
        <w:t>Authorized unissued and unreserved capacity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jc w:val="center"/>
              <w:ind w:right="209"/>
              <w:spacing w:after="0"/>
              <w:rPr>
                <w:sz w:val="20"/>
                <w:szCs w:val="20"/>
                <w:color w:val="auto"/>
              </w:rPr>
            </w:pPr>
            <w:r>
              <w:rPr>
                <w:rFonts w:ascii="Arial" w:cs="Arial" w:eastAsia="Arial" w:hAnsi="Arial"/>
                <w:sz w:val="14"/>
                <w:szCs w:val="14"/>
                <w:color w:val="auto"/>
              </w:rPr>
              <w:t>1,040,000,000</w:t>
            </w:r>
          </w:p>
        </w:tc>
        <w:tc>
          <w:tcPr>
            <w:tcW w:w="1460" w:type="dxa"/>
            <w:vAlign w:val="bottom"/>
          </w:tcPr>
          <w:p>
            <w:pPr>
              <w:jc w:val="center"/>
              <w:spacing w:after="0"/>
              <w:rPr>
                <w:sz w:val="20"/>
                <w:szCs w:val="20"/>
                <w:color w:val="auto"/>
              </w:rPr>
            </w:pPr>
            <w:r>
              <w:rPr>
                <w:rFonts w:ascii="Arial" w:cs="Arial" w:eastAsia="Arial" w:hAnsi="Arial"/>
                <w:sz w:val="14"/>
                <w:szCs w:val="14"/>
                <w:color w:val="auto"/>
              </w:rPr>
              <w:t>1,040,000,000</w:t>
            </w:r>
          </w:p>
        </w:tc>
        <w:tc>
          <w:tcPr>
            <w:tcW w:w="1320" w:type="dxa"/>
            <w:vAlign w:val="bottom"/>
          </w:tcPr>
          <w:p>
            <w:pPr>
              <w:jc w:val="center"/>
              <w:ind w:left="49"/>
              <w:spacing w:after="0"/>
              <w:rPr>
                <w:sz w:val="20"/>
                <w:szCs w:val="20"/>
                <w:color w:val="auto"/>
              </w:rPr>
            </w:pPr>
            <w:r>
              <w:rPr>
                <w:rFonts w:ascii="Arial" w:cs="Arial" w:eastAsia="Arial" w:hAnsi="Arial"/>
                <w:sz w:val="14"/>
                <w:szCs w:val="14"/>
                <w:color w:val="auto"/>
              </w:rPr>
              <w:t>1,040,000,000</w:t>
            </w:r>
          </w:p>
        </w:tc>
        <w:tc>
          <w:tcPr>
            <w:tcW w:w="1600" w:type="dxa"/>
            <w:vAlign w:val="bottom"/>
          </w:tcPr>
          <w:p>
            <w:pPr>
              <w:jc w:val="center"/>
              <w:ind w:left="89"/>
              <w:spacing w:after="0"/>
              <w:rPr>
                <w:sz w:val="20"/>
                <w:szCs w:val="20"/>
                <w:color w:val="auto"/>
              </w:rPr>
            </w:pPr>
            <w:r>
              <w:rPr>
                <w:rFonts w:ascii="Arial" w:cs="Arial" w:eastAsia="Arial" w:hAnsi="Arial"/>
                <w:sz w:val="14"/>
                <w:szCs w:val="14"/>
                <w:color w:val="auto"/>
              </w:rPr>
              <w:t>1,040,000,000</w:t>
            </w:r>
          </w:p>
        </w:tc>
        <w:tc>
          <w:tcPr>
            <w:tcW w:w="0" w:type="dxa"/>
            <w:vAlign w:val="bottom"/>
          </w:tcPr>
          <w:p>
            <w:pPr>
              <w:spacing w:after="0"/>
              <w:rPr>
                <w:sz w:val="1"/>
                <w:szCs w:val="1"/>
                <w:color w:val="auto"/>
              </w:rPr>
            </w:pPr>
          </w:p>
        </w:tc>
      </w:tr>
      <w:tr>
        <w:trPr>
          <w:trHeight w:val="189"/>
        </w:trPr>
        <w:tc>
          <w:tcPr>
            <w:tcW w:w="1180" w:type="dxa"/>
            <w:vAlign w:val="bottom"/>
            <w:vMerge w:val="restart"/>
          </w:tcPr>
          <w:p>
            <w:pPr>
              <w:jc w:val="center"/>
              <w:ind w:right="209"/>
              <w:spacing w:after="0"/>
              <w:rPr>
                <w:sz w:val="20"/>
                <w:szCs w:val="20"/>
                <w:color w:val="auto"/>
              </w:rPr>
            </w:pPr>
            <w:r>
              <w:rPr>
                <w:rFonts w:ascii="Arial" w:cs="Arial" w:eastAsia="Arial" w:hAnsi="Arial"/>
                <w:sz w:val="14"/>
                <w:szCs w:val="14"/>
                <w:color w:val="auto"/>
                <w:w w:val="99"/>
              </w:rPr>
              <w:t>59,084,675</w:t>
            </w:r>
          </w:p>
        </w:tc>
        <w:tc>
          <w:tcPr>
            <w:tcW w:w="1460" w:type="dxa"/>
            <w:vAlign w:val="bottom"/>
          </w:tcPr>
          <w:p>
            <w:pPr>
              <w:ind w:left="280"/>
              <w:spacing w:after="0"/>
              <w:rPr>
                <w:sz w:val="20"/>
                <w:szCs w:val="20"/>
                <w:color w:val="auto"/>
              </w:rPr>
            </w:pPr>
            <w:r>
              <w:rPr>
                <w:rFonts w:ascii="Arial" w:cs="Arial" w:eastAsia="Arial" w:hAnsi="Arial"/>
                <w:sz w:val="14"/>
                <w:szCs w:val="14"/>
                <w:color w:val="auto"/>
              </w:rPr>
              <w:t>Approximately</w:t>
            </w:r>
          </w:p>
        </w:tc>
        <w:tc>
          <w:tcPr>
            <w:tcW w:w="1320" w:type="dxa"/>
            <w:vAlign w:val="bottom"/>
          </w:tcPr>
          <w:p>
            <w:pPr>
              <w:ind w:left="260"/>
              <w:spacing w:after="0"/>
              <w:rPr>
                <w:sz w:val="20"/>
                <w:szCs w:val="20"/>
                <w:color w:val="auto"/>
              </w:rPr>
            </w:pPr>
            <w:r>
              <w:rPr>
                <w:rFonts w:ascii="Arial" w:cs="Arial" w:eastAsia="Arial" w:hAnsi="Arial"/>
                <w:sz w:val="14"/>
                <w:szCs w:val="14"/>
                <w:color w:val="auto"/>
              </w:rPr>
              <w:t>Approximately</w:t>
            </w:r>
          </w:p>
        </w:tc>
        <w:tc>
          <w:tcPr>
            <w:tcW w:w="1600" w:type="dxa"/>
            <w:vAlign w:val="bottom"/>
            <w:vMerge w:val="restart"/>
          </w:tcPr>
          <w:p>
            <w:pPr>
              <w:jc w:val="center"/>
              <w:ind w:left="89"/>
              <w:spacing w:after="0"/>
              <w:rPr>
                <w:sz w:val="20"/>
                <w:szCs w:val="20"/>
                <w:color w:val="auto"/>
              </w:rPr>
            </w:pPr>
            <w:r>
              <w:rPr>
                <w:rFonts w:ascii="Arial" w:cs="Arial" w:eastAsia="Arial" w:hAnsi="Arial"/>
                <w:sz w:val="14"/>
                <w:szCs w:val="14"/>
                <w:color w:val="auto"/>
              </w:rPr>
              <w:t>Approximately 590,846</w:t>
            </w:r>
          </w:p>
        </w:tc>
        <w:tc>
          <w:tcPr>
            <w:tcW w:w="0" w:type="dxa"/>
            <w:vAlign w:val="bottom"/>
          </w:tcPr>
          <w:p>
            <w:pPr>
              <w:spacing w:after="0"/>
              <w:rPr>
                <w:sz w:val="1"/>
                <w:szCs w:val="1"/>
                <w:color w:val="auto"/>
              </w:rPr>
            </w:pPr>
          </w:p>
        </w:tc>
      </w:tr>
      <w:tr>
        <w:trPr>
          <w:trHeight w:val="111"/>
        </w:trPr>
        <w:tc>
          <w:tcPr>
            <w:tcW w:w="1180" w:type="dxa"/>
            <w:vAlign w:val="bottom"/>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9"/>
              </w:rPr>
              <w:t>29,542,337</w:t>
            </w:r>
          </w:p>
        </w:tc>
        <w:tc>
          <w:tcPr>
            <w:tcW w:w="1320" w:type="dxa"/>
            <w:vAlign w:val="bottom"/>
            <w:vMerge w:val="restart"/>
          </w:tcPr>
          <w:p>
            <w:pPr>
              <w:jc w:val="center"/>
              <w:ind w:left="49"/>
              <w:spacing w:after="0"/>
              <w:rPr>
                <w:sz w:val="20"/>
                <w:szCs w:val="20"/>
                <w:color w:val="auto"/>
              </w:rPr>
            </w:pPr>
            <w:r>
              <w:rPr>
                <w:rFonts w:ascii="Arial" w:cs="Arial" w:eastAsia="Arial" w:hAnsi="Arial"/>
                <w:sz w:val="14"/>
                <w:szCs w:val="14"/>
                <w:color w:val="auto"/>
              </w:rPr>
              <w:t>1,181,693</w:t>
            </w: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tcPr>
          <w:p>
            <w:pPr>
              <w:jc w:val="center"/>
              <w:ind w:right="209"/>
              <w:spacing w:after="0"/>
              <w:rPr>
                <w:sz w:val="20"/>
                <w:szCs w:val="20"/>
                <w:color w:val="auto"/>
              </w:rPr>
            </w:pPr>
            <w:r>
              <w:rPr>
                <w:rFonts w:ascii="Arial" w:cs="Arial" w:eastAsia="Arial" w:hAnsi="Arial"/>
                <w:sz w:val="14"/>
                <w:szCs w:val="14"/>
                <w:color w:val="auto"/>
                <w:w w:val="99"/>
              </w:rPr>
              <w:t>59,084,675</w:t>
            </w:r>
          </w:p>
        </w:tc>
        <w:tc>
          <w:tcPr>
            <w:tcW w:w="1460" w:type="dxa"/>
            <w:vAlign w:val="bottom"/>
          </w:tcPr>
          <w:p>
            <w:pPr>
              <w:ind w:left="280"/>
              <w:spacing w:after="0"/>
              <w:rPr>
                <w:sz w:val="20"/>
                <w:szCs w:val="20"/>
                <w:color w:val="auto"/>
              </w:rPr>
            </w:pPr>
            <w:r>
              <w:rPr>
                <w:rFonts w:ascii="Arial" w:cs="Arial" w:eastAsia="Arial" w:hAnsi="Arial"/>
                <w:sz w:val="14"/>
                <w:szCs w:val="14"/>
                <w:color w:val="auto"/>
              </w:rPr>
              <w:t>Approximately</w:t>
            </w:r>
          </w:p>
        </w:tc>
        <w:tc>
          <w:tcPr>
            <w:tcW w:w="1320" w:type="dxa"/>
            <w:vAlign w:val="bottom"/>
          </w:tcPr>
          <w:p>
            <w:pPr>
              <w:ind w:left="260"/>
              <w:spacing w:after="0"/>
              <w:rPr>
                <w:sz w:val="20"/>
                <w:szCs w:val="20"/>
                <w:color w:val="auto"/>
              </w:rPr>
            </w:pPr>
            <w:r>
              <w:rPr>
                <w:rFonts w:ascii="Arial" w:cs="Arial" w:eastAsia="Arial" w:hAnsi="Arial"/>
                <w:sz w:val="14"/>
                <w:szCs w:val="14"/>
                <w:color w:val="auto"/>
              </w:rPr>
              <w:t>Approximately</w:t>
            </w:r>
          </w:p>
        </w:tc>
        <w:tc>
          <w:tcPr>
            <w:tcW w:w="1600" w:type="dxa"/>
            <w:vAlign w:val="bottom"/>
            <w:vMerge w:val="restart"/>
          </w:tcPr>
          <w:p>
            <w:pPr>
              <w:jc w:val="center"/>
              <w:ind w:left="89"/>
              <w:spacing w:after="0"/>
              <w:rPr>
                <w:sz w:val="20"/>
                <w:szCs w:val="20"/>
                <w:color w:val="auto"/>
              </w:rPr>
            </w:pPr>
            <w:r>
              <w:rPr>
                <w:rFonts w:ascii="Arial" w:cs="Arial" w:eastAsia="Arial" w:hAnsi="Arial"/>
                <w:sz w:val="14"/>
                <w:szCs w:val="14"/>
                <w:color w:val="auto"/>
              </w:rPr>
              <w:t>Approximately 590,846</w:t>
            </w:r>
          </w:p>
        </w:tc>
        <w:tc>
          <w:tcPr>
            <w:tcW w:w="0" w:type="dxa"/>
            <w:vAlign w:val="bottom"/>
          </w:tcPr>
          <w:p>
            <w:pPr>
              <w:spacing w:after="0"/>
              <w:rPr>
                <w:sz w:val="1"/>
                <w:szCs w:val="1"/>
                <w:color w:val="auto"/>
              </w:rPr>
            </w:pPr>
          </w:p>
        </w:tc>
      </w:tr>
      <w:tr>
        <w:trPr>
          <w:trHeight w:val="111"/>
        </w:trPr>
        <w:tc>
          <w:tcPr>
            <w:tcW w:w="1180" w:type="dxa"/>
            <w:vAlign w:val="bottom"/>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9"/>
              </w:rPr>
              <w:t>29,542,337</w:t>
            </w:r>
          </w:p>
        </w:tc>
        <w:tc>
          <w:tcPr>
            <w:tcW w:w="1320" w:type="dxa"/>
            <w:vAlign w:val="bottom"/>
            <w:vMerge w:val="restart"/>
          </w:tcPr>
          <w:p>
            <w:pPr>
              <w:jc w:val="center"/>
              <w:ind w:left="49"/>
              <w:spacing w:after="0"/>
              <w:rPr>
                <w:sz w:val="20"/>
                <w:szCs w:val="20"/>
                <w:color w:val="auto"/>
              </w:rPr>
            </w:pPr>
            <w:r>
              <w:rPr>
                <w:rFonts w:ascii="Arial" w:cs="Arial" w:eastAsia="Arial" w:hAnsi="Arial"/>
                <w:sz w:val="14"/>
                <w:szCs w:val="14"/>
                <w:color w:val="auto"/>
              </w:rPr>
              <w:t>1,181,693</w:t>
            </w: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180" w:type="dxa"/>
            <w:vAlign w:val="bottom"/>
          </w:tcPr>
          <w:p>
            <w:pPr>
              <w:jc w:val="center"/>
              <w:ind w:right="189"/>
              <w:spacing w:after="0"/>
              <w:rPr>
                <w:sz w:val="20"/>
                <w:szCs w:val="20"/>
                <w:color w:val="auto"/>
              </w:rPr>
            </w:pPr>
            <w:r>
              <w:rPr>
                <w:rFonts w:ascii="Arial" w:cs="Arial" w:eastAsia="Arial" w:hAnsi="Arial"/>
                <w:sz w:val="14"/>
                <w:szCs w:val="14"/>
                <w:color w:val="auto"/>
              </w:rPr>
              <w:t>0</w:t>
            </w:r>
          </w:p>
        </w:tc>
        <w:tc>
          <w:tcPr>
            <w:tcW w:w="146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ind w:left="49"/>
              <w:spacing w:after="0"/>
              <w:rPr>
                <w:sz w:val="20"/>
                <w:szCs w:val="20"/>
                <w:color w:val="auto"/>
              </w:rPr>
            </w:pPr>
            <w:r>
              <w:rPr>
                <w:rFonts w:ascii="Arial" w:cs="Arial" w:eastAsia="Arial" w:hAnsi="Arial"/>
                <w:sz w:val="14"/>
                <w:szCs w:val="14"/>
                <w:color w:val="auto"/>
              </w:rPr>
              <w:t>0</w:t>
            </w:r>
          </w:p>
        </w:tc>
        <w:tc>
          <w:tcPr>
            <w:tcW w:w="1600" w:type="dxa"/>
            <w:vAlign w:val="bottom"/>
          </w:tcPr>
          <w:p>
            <w:pPr>
              <w:jc w:val="center"/>
              <w:ind w:left="8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180" w:type="dxa"/>
            <w:vAlign w:val="bottom"/>
            <w:vMerge w:val="restart"/>
          </w:tcPr>
          <w:p>
            <w:pPr>
              <w:jc w:val="center"/>
              <w:ind w:right="209"/>
              <w:spacing w:after="0"/>
              <w:rPr>
                <w:sz w:val="20"/>
                <w:szCs w:val="20"/>
                <w:color w:val="auto"/>
              </w:rPr>
            </w:pPr>
            <w:r>
              <w:rPr>
                <w:rFonts w:ascii="Arial" w:cs="Arial" w:eastAsia="Arial" w:hAnsi="Arial"/>
                <w:sz w:val="14"/>
                <w:szCs w:val="14"/>
                <w:color w:val="auto"/>
              </w:rPr>
              <w:t>196,390,418</w:t>
            </w:r>
          </w:p>
        </w:tc>
        <w:tc>
          <w:tcPr>
            <w:tcW w:w="1460" w:type="dxa"/>
            <w:vAlign w:val="bottom"/>
          </w:tcPr>
          <w:p>
            <w:pPr>
              <w:ind w:left="280"/>
              <w:spacing w:after="0"/>
              <w:rPr>
                <w:sz w:val="20"/>
                <w:szCs w:val="20"/>
                <w:color w:val="auto"/>
              </w:rPr>
            </w:pPr>
            <w:r>
              <w:rPr>
                <w:rFonts w:ascii="Arial" w:cs="Arial" w:eastAsia="Arial" w:hAnsi="Arial"/>
                <w:sz w:val="14"/>
                <w:szCs w:val="14"/>
                <w:color w:val="auto"/>
              </w:rPr>
              <w:t>Approximately</w:t>
            </w:r>
          </w:p>
        </w:tc>
        <w:tc>
          <w:tcPr>
            <w:tcW w:w="1320" w:type="dxa"/>
            <w:vAlign w:val="bottom"/>
          </w:tcPr>
          <w:p>
            <w:pPr>
              <w:ind w:left="260"/>
              <w:spacing w:after="0"/>
              <w:rPr>
                <w:sz w:val="20"/>
                <w:szCs w:val="20"/>
                <w:color w:val="auto"/>
              </w:rPr>
            </w:pPr>
            <w:r>
              <w:rPr>
                <w:rFonts w:ascii="Arial" w:cs="Arial" w:eastAsia="Arial" w:hAnsi="Arial"/>
                <w:sz w:val="14"/>
                <w:szCs w:val="14"/>
                <w:color w:val="auto"/>
              </w:rPr>
              <w:t>Approximately</w:t>
            </w:r>
          </w:p>
        </w:tc>
        <w:tc>
          <w:tcPr>
            <w:tcW w:w="1600" w:type="dxa"/>
            <w:vAlign w:val="bottom"/>
          </w:tcPr>
          <w:p>
            <w:pPr>
              <w:jc w:val="center"/>
              <w:ind w:left="109"/>
              <w:spacing w:after="0"/>
              <w:rPr>
                <w:sz w:val="20"/>
                <w:szCs w:val="20"/>
                <w:color w:val="auto"/>
              </w:rPr>
            </w:pPr>
            <w:r>
              <w:rPr>
                <w:rFonts w:ascii="Arial" w:cs="Arial" w:eastAsia="Arial" w:hAnsi="Arial"/>
                <w:sz w:val="14"/>
                <w:szCs w:val="14"/>
                <w:color w:val="auto"/>
              </w:rPr>
              <w:t>Approximately</w:t>
            </w:r>
          </w:p>
        </w:tc>
        <w:tc>
          <w:tcPr>
            <w:tcW w:w="0" w:type="dxa"/>
            <w:vAlign w:val="bottom"/>
          </w:tcPr>
          <w:p>
            <w:pPr>
              <w:spacing w:after="0"/>
              <w:rPr>
                <w:sz w:val="1"/>
                <w:szCs w:val="1"/>
                <w:color w:val="auto"/>
              </w:rPr>
            </w:pPr>
          </w:p>
        </w:tc>
      </w:tr>
      <w:tr>
        <w:trPr>
          <w:trHeight w:val="111"/>
        </w:trPr>
        <w:tc>
          <w:tcPr>
            <w:tcW w:w="1180" w:type="dxa"/>
            <w:vAlign w:val="bottom"/>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9"/>
              </w:rPr>
              <w:t>98,195,209</w:t>
            </w:r>
          </w:p>
        </w:tc>
        <w:tc>
          <w:tcPr>
            <w:tcW w:w="1320" w:type="dxa"/>
            <w:vAlign w:val="bottom"/>
            <w:vMerge w:val="restart"/>
          </w:tcPr>
          <w:p>
            <w:pPr>
              <w:jc w:val="center"/>
              <w:ind w:left="49"/>
              <w:spacing w:after="0"/>
              <w:rPr>
                <w:sz w:val="20"/>
                <w:szCs w:val="20"/>
                <w:color w:val="auto"/>
              </w:rPr>
            </w:pPr>
            <w:r>
              <w:rPr>
                <w:rFonts w:ascii="Arial" w:cs="Arial" w:eastAsia="Arial" w:hAnsi="Arial"/>
                <w:sz w:val="14"/>
                <w:szCs w:val="14"/>
                <w:color w:val="auto"/>
              </w:rPr>
              <w:t>3,927,808</w:t>
            </w:r>
          </w:p>
        </w:tc>
        <w:tc>
          <w:tcPr>
            <w:tcW w:w="1600" w:type="dxa"/>
            <w:vAlign w:val="bottom"/>
            <w:vMerge w:val="restart"/>
          </w:tcPr>
          <w:p>
            <w:pPr>
              <w:jc w:val="center"/>
              <w:ind w:left="89"/>
              <w:spacing w:after="0"/>
              <w:rPr>
                <w:sz w:val="20"/>
                <w:szCs w:val="20"/>
                <w:color w:val="auto"/>
              </w:rPr>
            </w:pPr>
            <w:r>
              <w:rPr>
                <w:rFonts w:ascii="Arial" w:cs="Arial" w:eastAsia="Arial" w:hAnsi="Arial"/>
                <w:sz w:val="14"/>
                <w:szCs w:val="14"/>
                <w:color w:val="auto"/>
              </w:rPr>
              <w:t>1,963,904</w:t>
            </w: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tcPr>
          <w:p>
            <w:pPr>
              <w:jc w:val="center"/>
              <w:ind w:right="209"/>
              <w:spacing w:after="0"/>
              <w:rPr>
                <w:sz w:val="20"/>
                <w:szCs w:val="20"/>
                <w:color w:val="auto"/>
              </w:rPr>
            </w:pPr>
            <w:r>
              <w:rPr>
                <w:rFonts w:ascii="Arial" w:cs="Arial" w:eastAsia="Arial" w:hAnsi="Arial"/>
                <w:sz w:val="14"/>
                <w:szCs w:val="14"/>
                <w:color w:val="auto"/>
              </w:rPr>
              <w:t>784,524,907</w:t>
            </w:r>
          </w:p>
        </w:tc>
        <w:tc>
          <w:tcPr>
            <w:tcW w:w="1460" w:type="dxa"/>
            <w:vAlign w:val="bottom"/>
          </w:tcPr>
          <w:p>
            <w:pPr>
              <w:ind w:left="280"/>
              <w:spacing w:after="0"/>
              <w:rPr>
                <w:sz w:val="20"/>
                <w:szCs w:val="20"/>
                <w:color w:val="auto"/>
              </w:rPr>
            </w:pPr>
            <w:r>
              <w:rPr>
                <w:rFonts w:ascii="Arial" w:cs="Arial" w:eastAsia="Arial" w:hAnsi="Arial"/>
                <w:sz w:val="14"/>
                <w:szCs w:val="14"/>
                <w:color w:val="auto"/>
              </w:rPr>
              <w:t>Approximately</w:t>
            </w:r>
          </w:p>
        </w:tc>
        <w:tc>
          <w:tcPr>
            <w:tcW w:w="1320" w:type="dxa"/>
            <w:vAlign w:val="bottom"/>
          </w:tcPr>
          <w:p>
            <w:pPr>
              <w:ind w:left="260"/>
              <w:spacing w:after="0"/>
              <w:rPr>
                <w:sz w:val="20"/>
                <w:szCs w:val="20"/>
                <w:color w:val="auto"/>
              </w:rPr>
            </w:pPr>
            <w:r>
              <w:rPr>
                <w:rFonts w:ascii="Arial" w:cs="Arial" w:eastAsia="Arial" w:hAnsi="Arial"/>
                <w:sz w:val="14"/>
                <w:szCs w:val="14"/>
                <w:color w:val="auto"/>
              </w:rPr>
              <w:t>Approximately</w:t>
            </w:r>
          </w:p>
        </w:tc>
        <w:tc>
          <w:tcPr>
            <w:tcW w:w="1600" w:type="dxa"/>
            <w:vAlign w:val="bottom"/>
          </w:tcPr>
          <w:p>
            <w:pPr>
              <w:jc w:val="center"/>
              <w:ind w:left="109"/>
              <w:spacing w:after="0"/>
              <w:rPr>
                <w:sz w:val="20"/>
                <w:szCs w:val="20"/>
                <w:color w:val="auto"/>
              </w:rPr>
            </w:pPr>
            <w:r>
              <w:rPr>
                <w:rFonts w:ascii="Arial" w:cs="Arial" w:eastAsia="Arial" w:hAnsi="Arial"/>
                <w:sz w:val="14"/>
                <w:szCs w:val="14"/>
                <w:color w:val="auto"/>
              </w:rPr>
              <w:t>Approximately</w:t>
            </w:r>
          </w:p>
        </w:tc>
        <w:tc>
          <w:tcPr>
            <w:tcW w:w="0" w:type="dxa"/>
            <w:vAlign w:val="bottom"/>
          </w:tcPr>
          <w:p>
            <w:pPr>
              <w:spacing w:after="0"/>
              <w:rPr>
                <w:sz w:val="1"/>
                <w:szCs w:val="1"/>
                <w:color w:val="auto"/>
              </w:rPr>
            </w:pPr>
          </w:p>
        </w:tc>
      </w:tr>
      <w:tr>
        <w:trPr>
          <w:trHeight w:val="111"/>
        </w:trPr>
        <w:tc>
          <w:tcPr>
            <w:tcW w:w="1180" w:type="dxa"/>
            <w:vAlign w:val="bottom"/>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912,262,454</w:t>
            </w:r>
          </w:p>
        </w:tc>
        <w:tc>
          <w:tcPr>
            <w:tcW w:w="1320" w:type="dxa"/>
            <w:vAlign w:val="bottom"/>
            <w:vMerge w:val="restart"/>
          </w:tcPr>
          <w:p>
            <w:pPr>
              <w:jc w:val="center"/>
              <w:ind w:left="49"/>
              <w:spacing w:after="0"/>
              <w:rPr>
                <w:sz w:val="20"/>
                <w:szCs w:val="20"/>
                <w:color w:val="auto"/>
              </w:rPr>
            </w:pPr>
            <w:r>
              <w:rPr>
                <w:rFonts w:ascii="Arial" w:cs="Arial" w:eastAsia="Arial" w:hAnsi="Arial"/>
                <w:sz w:val="14"/>
                <w:szCs w:val="14"/>
                <w:color w:val="auto"/>
              </w:rPr>
              <w:t>1,034,890,499</w:t>
            </w:r>
          </w:p>
        </w:tc>
        <w:tc>
          <w:tcPr>
            <w:tcW w:w="1600" w:type="dxa"/>
            <w:vAlign w:val="bottom"/>
            <w:vMerge w:val="restart"/>
          </w:tcPr>
          <w:p>
            <w:pPr>
              <w:jc w:val="center"/>
              <w:ind w:left="89"/>
              <w:spacing w:after="0"/>
              <w:rPr>
                <w:sz w:val="20"/>
                <w:szCs w:val="20"/>
                <w:color w:val="auto"/>
              </w:rPr>
            </w:pPr>
            <w:r>
              <w:rPr>
                <w:rFonts w:ascii="Arial" w:cs="Arial" w:eastAsia="Arial" w:hAnsi="Arial"/>
                <w:sz w:val="14"/>
                <w:szCs w:val="14"/>
                <w:color w:val="auto"/>
              </w:rPr>
              <w:t>1,037,445,250</w:t>
            </w: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-846455</wp:posOffset>
            </wp:positionV>
            <wp:extent cx="5455920" cy="238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5920" cy="23876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-464820</wp:posOffset>
            </wp:positionV>
            <wp:extent cx="5455920" cy="238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5920" cy="23876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2820" w:space="380"/>
            <w:col w:w="5819"/>
          </w:cols>
          <w:pgMar w:left="1440" w:top="626" w:right="1440" w:bottom="1440" w:gutter="0" w:footer="0" w:header="0"/>
          <w:type w:val="continuous"/>
        </w:sectPr>
      </w:pPr>
    </w:p>
    <w:p>
      <w:pPr>
        <w:spacing w:after="0" w:line="89"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table above gives effect to our July 2026 public offering, in which we issued 17,851,599 shares of Common Stock and pre-funded warrants to purchase 24,837,008 shares, and the July 23, 2026 issuance of an additional 4,696,102 shares of Common Stock under the underwriters’ over-allotment option. On October 23, 2026, the last reported sale price of our Common Stock on the Exchange was $0.24 per share. No assurance can be given that the post-split market price will equal that price multiplied by 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Authorized shares and possible dilution</w:t>
      </w:r>
    </w:p>
    <w:p>
      <w:pPr>
        <w:spacing w:after="0" w:line="93"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6"/>
          <w:szCs w:val="16"/>
          <w:color w:val="auto"/>
        </w:rPr>
        <w:t>The amendment does not reduce the authorized number of shares of Common Stock or preferred stock. It does not change preferred stock terms. Reducing issued shares while leaving authorized shares unchanged increases the number and proportion of authorized but unissued shares available for future issuance. Except where law, the Plan, Exchange rules or contractual obligations require stockholder approval, the Board may issue available shares without another stockholder vote. The reverse split itself, apart from fractional rounding, is not a proportional dilution of existing holders; subsequent issuances can dilute their voting power, economic ownership and per-share interests. In addition, certain cash-exercise warrants issued to investors in our private placement financing announced in November 2025 and the cash-exercise common stock warrant issued to Daewoong Pharmaceutical Co., Ltd. (“Daewoong”) in our 2026 exchange transaction include provisions that may further adjust the number of shares issuable upon exercise of those warrants following a reverse stock split. After giving effect to the ordinary proportional adjustment for a reverse stock split, if the average VWAP of our Common Stock over the applicable five-trading-day period following the reverse stock split is lower than the then-current exercise price of those warrants, the exercise price of those warrants will be reduced to that average VWAP, subject to the applicable floor price in the warrants, and the number of shares issuable upon exercise of those warrants will be increased so that the aggregate exercise price payable for the then-outstanding warrant shares remains unchanged.</w:t>
      </w:r>
    </w:p>
    <w:p>
      <w:pPr>
        <w:spacing w:after="0" w:line="67"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Available shares may be used for financing, compensation, acquisitions or other corporate purposes, subject to applicable requirements. We have outstanding warrants, convertible securities and equity compensation arrangements described in this Proxy Statement. We also maintain an at-the-market sales agreement with Leerink Partners LLC, dated November 29, 2023 and amended December 19, 2025, under which eligible shares of Common Stock may be sold from time to time, subject to its terms and applicable registration and other requirements. As of October 23, 2026, approximately $47.0 million of Common Stock remained available for sale under our at-the-market facility; however, the amount that may be sold from time-to-time is subject to applicable Form S-3 requirements and limitations. The proposal does not approve a particular issuance under Sections 711 or 713 of the Company Guide. Increased capacity could facilitate issuances that make a change of control more difficult or affect control. This disclosure should not be read as limiting the Board's fiduciary duties.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Fractional shares</w:t>
      </w:r>
    </w:p>
    <w:p>
      <w:pPr>
        <w:spacing w:after="0" w:line="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No fractional shares will be issued. After aggregating a registered holder's fractional entitlements, and DTC participant-level positions where applicable, in accordance with the transfer agent's procedures, the holder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13" w:name="page14"/>
    <w:bookmarkEnd w:id="13"/>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otherwise entitled to a fraction will instead receive a whole share by rounding up. Rounding may modestly increase a holder's relative interest and dilute other holders; the aggregate effect depends on accounts and positions at effectiveness. A holder of fewer than N shares will receive one whole post-split share under the aggregation rules. Nominee-held positions will be processed under the nominee's and DTC's applicable procedures, which may differ from direct record-holder treatment. An individual beneficial account is not necessarily entitled to separate rounding if the nominee processes the adjustment at its aggregate participant position. The Company and transfer agent will disclose the operational procedures before implementation.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Options, RSUs, plans and derivative securities</w:t>
      </w:r>
    </w:p>
    <w:p>
      <w:pPr>
        <w:spacing w:after="0" w:line="93"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6"/>
          <w:szCs w:val="16"/>
          <w:color w:val="auto"/>
        </w:rPr>
        <w:t>Outstanding options, stock appreciation rights, RSUs, restricted stock and other awards will be adjusted under their governing plans and agreements. Ordinarily the number of underlying shares decreases proportionately and option or warrant exercise prices increase proportionately, preserving the aggregate exercise price, subject to specified rounding and exceptions. Plan share reserves and share-based limits will be adjusted as required by each plan. Cash-denominated limits remain governed by their terms. The split will not itself change vesting or payment dates.</w:t>
      </w:r>
    </w:p>
    <w:p>
      <w:pPr>
        <w:spacing w:after="0" w:line="54"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color w:val="auto"/>
        </w:rPr>
        <w:t>Pre-funded warrants will remain outstanding after the reverse stock split. The number of shares underlying outstanding pre-funded warrants, the nominal remaining exercise prices under those warrants and any share-based provisions will be adjusted under the terms of those instruments, and beneficial-ownership blockers expressed as percentages generally will remain percentage limitations. Ordinary warrants, convertible securities and other derivative securities will be adjusted only as provided in the contracts governing those instruments, including any applicable anti-dilution, rounding, minimum exercise price, beneficial-ownership limitation, cashless exercise and notice provisions. As of October 23, 2026, the Company’s outstanding warrants and other derivative securities included private placement warrants issued in connection with the closing of the merger, Series A warrants and Series B warrants issued in our January 2025 public offering, warrants issued to Odeon Capital Group LLC in October 2025, pre-funded warrants, PIPE warrants and true-up warrants issued in connection with our November 2025 PIPE financing, pre-funded warrants and a common stock warrant issued to Daewoong in connection with our 2026 exchange transaction, pre-funded warrants, two-year milestone warrants and five-year milestone warrants issued in our July 2026 underwritten public offering, and our senior secured convertible note issued to Daewoong in January 2026.</w:t>
      </w:r>
    </w:p>
    <w:p>
      <w:pPr>
        <w:spacing w:after="0" w:line="74" w:lineRule="exact"/>
        <w:rPr>
          <w:sz w:val="20"/>
          <w:szCs w:val="20"/>
          <w:color w:val="auto"/>
        </w:rPr>
      </w:pPr>
    </w:p>
    <w:p>
      <w:pPr>
        <w:jc w:val="both"/>
        <w:ind w:left="200" w:right="219"/>
        <w:spacing w:after="0" w:line="232" w:lineRule="auto"/>
        <w:rPr>
          <w:sz w:val="20"/>
          <w:szCs w:val="20"/>
          <w:color w:val="auto"/>
        </w:rPr>
      </w:pPr>
      <w:r>
        <w:rPr>
          <w:rFonts w:ascii="Arial" w:cs="Arial" w:eastAsia="Arial" w:hAnsi="Arial"/>
          <w:sz w:val="17"/>
          <w:szCs w:val="17"/>
          <w:color w:val="auto"/>
        </w:rPr>
        <w:t>Certain of these instruments contain terms that differ from a simple proportional adjustment. The Series A warrants and Series B warrants issued in our January 2025 public offering included reset and share-combination adjustment provisions; however, the exercise prices of those warrants were previously reset to the applicable floor price following receipt of stockholder approval in February 2025 and, because that floor price is itself subject to adjustment for stock splits, combinations and similar events, the Series A warrants and Series B warrants are not expected to be subject to any further downward adjustment in connection with the reverse stock split other than the ordinary proportional adjustment to reflect the reverse stock split. The PIPE warrants and the common stock warrant issued to Daewoong contain separate post-split price adjustment provisions that could further reduce the applicable exercise price following a reverse stock split. After giving effect to the ordinary proportional adjustment for a reverse stock split, if the applicable VWAP-based measurement price for our Common Stock over the specified five-trading-day period following the reverse stock split is lower than the then-current exercise price of those warrants, the exercise price of those warrants will be reduced to that measurement price, subject to the applicable floor price in the warrants, and the number of shares issuable upon exercise of those warrants will be increased so that the aggregate exercise price payable for the then-outstanding warrant shares remains unchanged. The two-year milestone warrants and five-year milestone warrants issued in our July 2026 underwritten public offering may be exercised, at the holder’s option, either for shares of Common Stock or for pre-funded warrants in lieu of shares of Common Stock, and their underlying share counts and exercise prices are subject to adjustment under their terms. On September 30, 2026, we announced the satisfaction of the contractual acceleration condition for the two-year milestone warrants; those warrants expire on November 16, 2026 unless exercised earlier and therefore are not expected to remain outstanding when any reverse stock split is implemented. The charter amendment will not override any contractual rights under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4" w:name="page15"/>
    <w:bookmarkEnd w:id="14"/>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outstanding derivative securities. Different instruments may therefore receive different adjustment, fractional, rounding or notice treatment.</w:t>
      </w:r>
    </w:p>
    <w:p>
      <w:pPr>
        <w:spacing w:after="0" w:line="49"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If Proposal 2 is approved, shares underlying pre-funded warrants will be included in the Plan’s evergreen denominator, and if Proposal 3 is approved, they will also be included in the ESPP’s evergreen denominator. The split will not create a second evergreen increase under either plan. The prior-year-end denominator, resulting annual increase and subsequent split adjustment must be reconciled chronologically, without double counting exercised warrants or rounding into additional discretionary compensation. Adjustments will be structured to preserve applicable incentive stock option treatment, the ESPP’s qualification under Section 423 of the Internal Revenue Code of 1986, as amended (the “Code”), and Section 409A compliance to the extent available.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Interests of certain persons</w:t>
      </w:r>
    </w:p>
    <w:p>
      <w:pPr>
        <w:spacing w:after="0" w:line="9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Seongsoo Park, a member of our Board, is the Chief Executive Officer and President of Daewoong. As of October 23, 2026, Daewoong held 12,009,737 shares of our Common Stock, pre-funded warrants to purchase 11,236,631 shares of our Common Stock, a common stock warrant to purchase up to 8,000,000 shares of our Common Stock and our senior secured convertible note due 2030. The Daewoong common stock warrant contains the post-split price adjustment provision described above under “Options, RSUs, plans and derivative securities,” and, if a reverse stock split is effected while the Daewoong common stock warrant remains outstanding, Daewoong will be entitled to any adjustment under that warrant in its capacity as a securityholder. Mr. Park does not personally hold the Daewoong common stock warrant and will not receive any direct benefit from any such adjustment, except to the extent of any economic interest he may have in Daewoong.</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Implementation and transfer procedures</w:t>
      </w:r>
    </w:p>
    <w:p>
      <w:pPr>
        <w:spacing w:after="0" w:line="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If the Board decides to proceed, it will select a ratio within the approved range, ensure that the split satisfies the Compliance Condition, approve the completed Certificate of Amendment and coordinate the effective time with the Exchange, Delaware Secretary of State, transfer agent and DTC. The Company will publicly announce the ratio, effective time and split-adjusted trading date as required. The split will become legally effective only at the date and time specified in the filed Certificate of Amendment. The Company will not file a certificate now with an effective date several months later; final filing will occur in coordination with implementation.</w:t>
      </w:r>
    </w:p>
    <w:p>
      <w:pPr>
        <w:spacing w:after="0" w:line="69"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6"/>
          <w:szCs w:val="16"/>
          <w:color w:val="auto"/>
        </w:rPr>
        <w:t>Common Stock will receive a new CUSIP number. Book-entry holdings will be adjusted automatically, subject to applicable intermediary procedures. Holders of certificates will receive instructions from the transfer agent regarding exchange, if required. Do not destroy certificates or submit them before receiving instructions. Until exchanged, certificates will represent the adjusted number of shares. Costs of any exchange procedures will be paid by the Company, subject to ordinary account or transaction fees imposed by intermediaries. Our transfer agent is Continental Stock Transfer &amp; Trust Company, One State Street, 30th Floor, New York, NY 10004. Stockholders may contact Continental at 800-509-5586 (or 212-509-5586 for international calls) or cstmail@continentalstock.com.</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Accounting effects</w:t>
      </w:r>
    </w:p>
    <w:p>
      <w:pPr>
        <w:spacing w:after="0" w:line="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par value for each share of Common Stock will remain unchanged. Subject to final accounting review, stated capital attributable to Common Stock will decrease in proportion to the reduction in issued shares, and additional paid-in capital will increase correspondingly. Total stockholders' equity generally will not change apart from costs and any rounding effects. Per-share financial data will be adjusted retrospectively as required by applicable accounting standards. The split does not affect the Company's cash balance or underlying business value.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Material United States federal income tax consequences</w:t>
      </w:r>
    </w:p>
    <w:p>
      <w:pPr>
        <w:spacing w:after="0" w:line="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The following is a general discussion of material U.S. federal income tax consequences to a U.S. holder that owns Common Stock as a capital asset. A U.S. holder generally is a U.S. citizen or resident individual,</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5" w:name="page16"/>
    <w:bookmarkEnd w:id="15"/>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a corporation organized under U.S. law, an estate subject to U.S. federal income tax regardless of source, or a qualifying trust. This discussion does not address all holder circumstances, state, local or foreign taxes, the Medicare tax, or special rules for banks, tax-exempt persons, dealers, traders, hedging or integrated transactions, partnerships and their partners, holders receiving compensation, or holders of options, warrants or convertible instruments. Such holders should consult their tax advisers.</w:t>
      </w:r>
    </w:p>
    <w:p>
      <w:pPr>
        <w:spacing w:after="0" w:line="70"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We intend that the reverse split qualify as a recapitalization under Section 368(a)(1)(E) of the Code. Subject to the fractional-rounding discussion, a U.S. holder generally should recognize no gain or loss on exchanging pre-split Common Stock solely for post-split Common Stock. Aggregate adjusted tax basis generally carries over, and the holding period includes the holding period of the exchanged shares. Separate tax lots may need to be allocated and tracked. The Company generally should not recognize gain or loss from the recapitalization.</w:t>
      </w:r>
    </w:p>
    <w:p>
      <w:pPr>
        <w:spacing w:after="0" w:line="70"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federal tax treatment of receiving an additional fraction of a whole share through rounding up is not entirely certain. A holder may be required to recognize income or gain attributable to the additional share interest, and its basis and holding period may differ from those of shares received solely in the recapitalization. Holders should consult their advisers about this result and basis allocation. The proposed fractional-share treatment is rounding up, rather than cash payment.</w:t>
      </w:r>
    </w:p>
    <w:p>
      <w:pPr>
        <w:spacing w:after="0" w:line="70"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No IRS ruling has been requested and no tax opinion is expected to be obtained. This discussion is not binding on the IRS or courts. Each holder should consult its own adviser regarding its particular consequences, including any required reporting. Outstanding awards and derivative securities may have separate tax consequences that depend on their governing terms and adjustments.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Appraisal rights and interests of directors and officers</w:t>
      </w:r>
    </w:p>
    <w:p>
      <w:pPr>
        <w:spacing w:after="0" w:line="93" w:lineRule="exact"/>
        <w:rPr>
          <w:sz w:val="20"/>
          <w:szCs w:val="20"/>
          <w:color w:val="auto"/>
        </w:rPr>
      </w:pPr>
    </w:p>
    <w:p>
      <w:pPr>
        <w:jc w:val="both"/>
        <w:ind w:left="200" w:right="219"/>
        <w:spacing w:after="0"/>
        <w:rPr>
          <w:sz w:val="20"/>
          <w:szCs w:val="20"/>
          <w:color w:val="auto"/>
        </w:rPr>
      </w:pPr>
      <w:r>
        <w:rPr>
          <w:rFonts w:ascii="Arial" w:cs="Arial" w:eastAsia="Arial" w:hAnsi="Arial"/>
          <w:sz w:val="17"/>
          <w:szCs w:val="17"/>
          <w:color w:val="auto"/>
        </w:rPr>
        <w:t>No appraisal or dissenters' rights are available under the DGCL for this charter amendment. Directors and executive officers holding Common Stock are affected proportionately, subject to rounding, like other holders. Their awards and other instruments will be adjusted under their terms as described above. See “Security Ownership of Certain Beneficial Owners and Management” and “Executive and Director Compensation.</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Consequences of approval and non-approval</w:t>
      </w:r>
    </w:p>
    <w:p>
      <w:pPr>
        <w:spacing w:after="0" w:line="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Approval gives the Board the single-split authority described above; it does not effect a split, cure a deficiency, guarantee continued listing or approve future securities issuances. If not approved, the Board cannot implement a split under this proposal and may need to seek another stockholder vote or pursue alternatives. Non-approval could limit the Company's ability to respond to future low-price conditions, but approval itself does not assure a favorable outcome. Proposals 2 and 3 can each take effect independently.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Required vote and Board recommendation</w:t>
      </w:r>
    </w:p>
    <w:p>
      <w:pPr>
        <w:spacing w:after="0" w:line="93"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17"/>
          <w:szCs w:val="17"/>
          <w:color w:val="auto"/>
        </w:rPr>
        <w:t xml:space="preserve">The affirmative vote of a majority in voting power of votes cast is required; votes “FOR” must exceed votes “AGAINST.” Abstentions and broker non-votes have no effect on votes cast. Brokers may vote on this routine proposal without specific instructions. </w:t>
      </w:r>
      <w:r>
        <w:rPr>
          <w:rFonts w:ascii="Arial" w:cs="Arial" w:eastAsia="Arial" w:hAnsi="Arial"/>
          <w:sz w:val="17"/>
          <w:szCs w:val="17"/>
          <w:b w:val="1"/>
          <w:bCs w:val="1"/>
          <w:color w:val="auto"/>
        </w:rPr>
        <w:t>OUR BOARD OF DIRECTORS RECOMMENDS THAT YOU VOTE “FOR”</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 1 — THE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6" w:name="page17"/>
    <w:bookmarkEnd w:id="16"/>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2 — THE EQUITY PLAN PROPOSAL</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Overview and purpose</w:t>
      </w:r>
    </w:p>
    <w:p>
      <w:pPr>
        <w:spacing w:after="0" w:line="93"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We ask stockholders to approve a limited-purpose amendment and restatement of the Amended and Restated 2023 Incentive Award Plan to include shares underlying outstanding pre-funded warrants in the fully-diluted shares used to calculate annual evergreen increases. Shares underlying other outstanding warrants remain excluded. Appendix B contains the complete amended and restated Plan with the revised provision incorporated. The proposal does not change the existing 5% rate, Board discretion to determine a smaller annual increase, annual measurement date, evergreen years, original fixed share limit, award types, eligibility, vesting requirements, repricing restrictions, director limit, Plan term or ISO grant deadline.</w:t>
      </w:r>
    </w:p>
    <w:p>
      <w:pPr>
        <w:spacing w:after="0" w:line="70"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6"/>
          <w:szCs w:val="16"/>
          <w:color w:val="auto"/>
        </w:rPr>
        <w:t>The Amended and Restated 2023 Incentive Award Plan was approved by stockholders on January 21, 2026, following Board adoption on December 2, 2025. It amended and restated the original 2023 Incentive Award Plan (the “Original Plan”). The Plan provides for a fixed aggregate reserve of 17,910,413 shares, subject to applicable capital adjustments and the Plan’s provisions for returning shares subject to awards under the AEON Biopharma, Inc. Amended and Restated 2019 Incentive Award Plan (the “Prior Plan”). The proposed adjustment applies to the annual evergreen increases beginning on January 1, 2027 and ending on January 1, 2033. This adjustment will take effect upon stockholder approval but does not reset the Plan’s original or existing Effective Date or extend its term. If approved before the first annual increase, it will apply to that increase using the actual prior-year-end capitalization.</w:t>
      </w:r>
    </w:p>
    <w:p>
      <w:pPr>
        <w:spacing w:after="0" w:line="64"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6"/>
          <w:szCs w:val="16"/>
          <w:color w:val="auto"/>
        </w:rPr>
        <w:t>Pre-funded warrants are different from conventional warrants whose exercise requires payment of a material exercise price. In a typical pre-funded warrant issuance, substantially all the economic purchase price of the underlying Common Stock is paid at issuance, leaving a nominal exercise price. These instruments may be used in lieu of immediately issued stock and may include beneficial-ownership limits that defer exercise. They nevertheless remain contractual rights to acquire shares; the underlying shares are not outstanding Common Stock before issuance. Including them in this Plan calculation does not give them voting, dividend or other common-stock rights.</w:t>
      </w:r>
    </w:p>
    <w:p>
      <w:pPr>
        <w:spacing w:after="0" w:line="59"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6"/>
          <w:szCs w:val="16"/>
          <w:color w:val="auto"/>
        </w:rPr>
        <w:t>The Board believes counting these substantially funded share equivalents produces an evergreen denominator less dependent on whether investors initially purchased shares of Common Stock or pre-funded warrants, and whether beneficial-ownership limitations defer exercise. The same principle can apply where consideration was satisfied by exchanging or cancelling debt rather than paying cash. It may support equity compensation capacity for attracting and retaining service providers. It also increases potential dilution relative to the current definition when qualifying pre-funded warrants remain outstanding. The Board retains the same discretion to approve a smaller increase.</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Exact amendment and definition</w:t>
      </w:r>
    </w:p>
    <w:p>
      <w:pPr>
        <w:spacing w:after="0" w:line="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Section 11.19's warrant exclusion will be revised from excluding shares underlying “outstanding warrants” to excluding shares underlying outstanding warrants “other than Pre-Funded Warrants” and Section 11.19’s inclusion of shares issuable upon exercise of other equity securities will be revised to include Pre-Funded Warrants. The following definition is added as Section 11.30:</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11.30 “Pre-Funded Warrants” means any warrant to acquire shares of Common Stock for a nominal exercise price.</w:t>
      </w:r>
    </w:p>
    <w:p>
      <w:pPr>
        <w:spacing w:after="0" w:line="104"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This definition covers existing and future bona fide pre-funded warrants without treating ordinary warrants as pre-funded merely because their exercise price falls or a cashless feature is used. The publicly disclosed Daewoong, PIPE and July 2026 pre-funded warrants have a nominal exercise price of $0.0001 per share, subject to customary capital adjustments. As of October 23, 2026, AEON had outstanding pre-funded warrants to purchase 39,005,349 shares of Common Stock.</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7" w:name="page18"/>
    <w:bookmarkEnd w:id="17"/>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Current and proposed evergreen mechanics</w:t>
      </w:r>
    </w:p>
    <w:p>
      <w:pPr>
        <w:spacing w:after="0" w:line="143" w:lineRule="exact"/>
        <w:rPr>
          <w:sz w:val="20"/>
          <w:szCs w:val="20"/>
          <w:color w:val="auto"/>
        </w:rPr>
      </w:pPr>
    </w:p>
    <w:p>
      <w:pPr>
        <w:ind w:left="1520"/>
        <w:spacing w:after="0"/>
        <w:tabs>
          <w:tab w:leader="none" w:pos="4200" w:val="left"/>
          <w:tab w:leader="none" w:pos="6820" w:val="left"/>
        </w:tabs>
        <w:rPr>
          <w:sz w:val="20"/>
          <w:szCs w:val="20"/>
          <w:color w:val="auto"/>
        </w:rPr>
      </w:pPr>
      <w:r>
        <w:rPr>
          <w:rFonts w:ascii="Arial" w:cs="Arial" w:eastAsia="Arial" w:hAnsi="Arial"/>
          <w:sz w:val="17"/>
          <w:szCs w:val="17"/>
          <w:b w:val="1"/>
          <w:bCs w:val="1"/>
          <w:color w:val="auto"/>
        </w:rPr>
        <w:t>Feature</w:t>
      </w:r>
      <w:r>
        <w:rPr>
          <w:sz w:val="20"/>
          <w:szCs w:val="20"/>
          <w:color w:val="auto"/>
        </w:rPr>
        <w:tab/>
      </w:r>
      <w:r>
        <w:rPr>
          <w:rFonts w:ascii="Arial" w:cs="Arial" w:eastAsia="Arial" w:hAnsi="Arial"/>
          <w:sz w:val="17"/>
          <w:szCs w:val="17"/>
          <w:b w:val="1"/>
          <w:bCs w:val="1"/>
          <w:color w:val="auto"/>
        </w:rPr>
        <w:t>Existing Plan</w:t>
      </w:r>
      <w:r>
        <w:rPr>
          <w:sz w:val="20"/>
          <w:szCs w:val="20"/>
          <w:color w:val="auto"/>
        </w:rPr>
        <w:tab/>
      </w:r>
      <w:r>
        <w:rPr>
          <w:rFonts w:ascii="Arial" w:cs="Arial" w:eastAsia="Arial" w:hAnsi="Arial"/>
          <w:sz w:val="16"/>
          <w:szCs w:val="16"/>
          <w:b w:val="1"/>
          <w:bCs w:val="1"/>
          <w:color w:val="auto"/>
        </w:rPr>
        <w:t>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13970</wp:posOffset>
            </wp:positionV>
            <wp:extent cx="5455920" cy="501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5920" cy="50101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Annual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Fully-Diluted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Annual increase years</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Beneficial-ownership blockers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Immediate fixed reserve addition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Lesser of 5% of fully-diluted shares outstanding on the last day of the preceding year and a smaller Board amount</w:t>
      </w:r>
    </w:p>
    <w:p>
      <w:pPr>
        <w:spacing w:after="0" w:line="2"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Outstanding preferred and Common Stock; compensatory awards with performance awards at target and options on the defined net-exercised basis regardless of vesting; other equity/convertible securities on an as-converted-to-Common-Stock basis; all outstanding warrants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1270</wp:posOffset>
            </wp:positionV>
            <wp:extent cx="5455920" cy="254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5920" cy="254635"/>
                    </a:xfrm>
                    <a:prstGeom prst="rect">
                      <a:avLst/>
                    </a:prstGeom>
                    <a:noFill/>
                  </pic:spPr>
                </pic:pic>
              </a:graphicData>
            </a:graphic>
          </wp:anchor>
        </w:drawing>
      </w:r>
    </w:p>
    <w:p>
      <w:pPr>
        <w:ind w:right="140"/>
        <w:spacing w:after="0" w:line="252" w:lineRule="auto"/>
        <w:rPr>
          <w:sz w:val="20"/>
          <w:szCs w:val="20"/>
          <w:color w:val="auto"/>
        </w:rPr>
      </w:pPr>
      <w:r>
        <w:rPr>
          <w:rFonts w:ascii="Arial" w:cs="Arial" w:eastAsia="Arial" w:hAnsi="Arial"/>
          <w:sz w:val="17"/>
          <w:szCs w:val="17"/>
          <w:color w:val="auto"/>
        </w:rPr>
        <w:t>January 1, 2027 through January 1, 2033</w:t>
      </w:r>
    </w:p>
    <w:p>
      <w:pPr>
        <w:spacing w:after="0" w:line="170"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No warrant shares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140335</wp:posOffset>
            </wp:positionV>
            <wp:extent cx="5455920" cy="254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5920" cy="254635"/>
                    </a:xfrm>
                    <a:prstGeom prst="rect">
                      <a:avLst/>
                    </a:prstGeom>
                    <a:noFill/>
                  </pic:spPr>
                </pic:pic>
              </a:graphicData>
            </a:graphic>
          </wp:anchor>
        </w:drawing>
      </w:r>
    </w:p>
    <w:p>
      <w:pPr>
        <w:spacing w:after="0" w:line="284"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None from this amendment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19"/>
        <w:spacing w:after="0" w:line="241" w:lineRule="auto"/>
        <w:rPr>
          <w:sz w:val="20"/>
          <w:szCs w:val="20"/>
          <w:color w:val="auto"/>
        </w:rPr>
      </w:pPr>
      <w:r>
        <w:rPr>
          <w:rFonts w:ascii="Arial" w:cs="Arial" w:eastAsia="Arial" w:hAnsi="Arial"/>
          <w:sz w:val="17"/>
          <w:szCs w:val="17"/>
          <w:color w:val="auto"/>
        </w:rPr>
        <w:t>Same, except qualifying pre-funded warrant shares are included; other warrants remain excluded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Unchanged</w:t>
      </w:r>
    </w:p>
    <w:p>
      <w:pPr>
        <w:spacing w:after="0" w:line="118" w:lineRule="exact"/>
        <w:rPr>
          <w:sz w:val="20"/>
          <w:szCs w:val="20"/>
          <w:color w:val="auto"/>
        </w:rPr>
      </w:pPr>
    </w:p>
    <w:p>
      <w:pPr>
        <w:ind w:right="499"/>
        <w:spacing w:after="0" w:line="244" w:lineRule="auto"/>
        <w:rPr>
          <w:sz w:val="20"/>
          <w:szCs w:val="20"/>
          <w:color w:val="auto"/>
        </w:rPr>
      </w:pPr>
      <w:r>
        <w:rPr>
          <w:rFonts w:ascii="Arial" w:cs="Arial" w:eastAsia="Arial" w:hAnsi="Arial"/>
          <w:sz w:val="17"/>
          <w:szCs w:val="17"/>
          <w:color w:val="auto"/>
        </w:rPr>
        <w:t>Do not reduce qualifying pre-funded warrant share count for this Plan denominator</w:t>
      </w:r>
    </w:p>
    <w:p>
      <w:pPr>
        <w:spacing w:after="0" w:line="1" w:lineRule="exact"/>
        <w:rPr>
          <w:sz w:val="20"/>
          <w:szCs w:val="20"/>
          <w:color w:val="auto"/>
        </w:rPr>
      </w:pPr>
    </w:p>
    <w:p>
      <w:pPr>
        <w:ind w:right="719"/>
        <w:spacing w:after="0" w:line="246" w:lineRule="auto"/>
        <w:rPr>
          <w:sz w:val="20"/>
          <w:szCs w:val="20"/>
          <w:color w:val="auto"/>
        </w:rPr>
      </w:pPr>
      <w:r>
        <w:rPr>
          <w:rFonts w:ascii="Arial" w:cs="Arial" w:eastAsia="Arial" w:hAnsi="Arial"/>
          <w:sz w:val="17"/>
          <w:szCs w:val="17"/>
          <w:color w:val="auto"/>
        </w:rPr>
        <w:t>None; effect occurs through annual increases</w:t>
      </w:r>
    </w:p>
    <w:p>
      <w:pPr>
        <w:spacing w:after="0" w:line="1" w:lineRule="exact"/>
        <w:rPr>
          <w:sz w:val="20"/>
          <w:szCs w:val="20"/>
          <w:color w:val="auto"/>
        </w:rPr>
      </w:pPr>
    </w:p>
    <w:p>
      <w:pPr>
        <w:sectPr>
          <w:pgSz w:w="11900" w:h="16838" w:orient="portrait"/>
          <w:cols w:equalWidth="0" w:num="3">
            <w:col w:w="2720" w:space="720"/>
            <w:col w:w="2600" w:space="220"/>
            <w:col w:w="2759"/>
          </w:cols>
          <w:pgMar w:left="1440" w:top="626" w:right="1440" w:bottom="1440" w:gutter="0" w:footer="0" w:header="0"/>
          <w:type w:val="continuous"/>
        </w:sectPr>
      </w:pPr>
    </w:p>
    <w:p>
      <w:pPr>
        <w:ind w:left="220"/>
        <w:spacing w:after="0"/>
        <w:tabs>
          <w:tab w:leader="none" w:pos="3420" w:val="left"/>
          <w:tab w:leader="none" w:pos="6240" w:val="left"/>
        </w:tabs>
        <w:rPr>
          <w:sz w:val="20"/>
          <w:szCs w:val="20"/>
          <w:color w:val="auto"/>
        </w:rPr>
      </w:pPr>
      <w:r>
        <w:rPr>
          <w:rFonts w:ascii="Arial" w:cs="Arial" w:eastAsia="Arial" w:hAnsi="Arial"/>
          <w:sz w:val="17"/>
          <w:szCs w:val="17"/>
          <w:color w:val="auto"/>
        </w:rPr>
        <w:t>Existing Plan Effective Date and term</w:t>
      </w:r>
      <w:r>
        <w:rPr>
          <w:sz w:val="20"/>
          <w:szCs w:val="20"/>
          <w:color w:val="auto"/>
        </w:rPr>
        <w:tab/>
      </w:r>
      <w:r>
        <w:rPr>
          <w:rFonts w:ascii="Arial" w:cs="Arial" w:eastAsia="Arial" w:hAnsi="Arial"/>
          <w:sz w:val="17"/>
          <w:szCs w:val="17"/>
          <w:color w:val="auto"/>
        </w:rPr>
        <w:t>Existing dates and term</w:t>
      </w:r>
      <w:r>
        <w:rPr>
          <w:sz w:val="20"/>
          <w:szCs w:val="20"/>
          <w:color w:val="auto"/>
        </w:rPr>
        <w:tab/>
      </w:r>
      <w:r>
        <w:rPr>
          <w:rFonts w:ascii="Arial" w:cs="Arial" w:eastAsia="Arial" w:hAnsi="Arial"/>
          <w:sz w:val="16"/>
          <w:szCs w:val="16"/>
          <w:color w:val="auto"/>
        </w:rPr>
        <w:t>Unchanged</w:t>
      </w:r>
    </w:p>
    <w:p>
      <w:pPr>
        <w:spacing w:after="0" w:line="197"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For illustration only, let F equal fully-diluted shares under the current definition and P equal shares underlying qualifying outstanding pre-funded warrants not already included elsewhere. Before any smaller Board determination or applicable rounding, the current annual increase is 5% × F and the proposed annual increase is 5% × (F + P); the potential incremental increase is 5% × P. Options in F are calculated on the Plan's net-exercised basis, assuming surrender of shares with fair market value equal to exercise price and applying the specified rounding, regardless of vesting; performance awards are counted at target. Gross award counts used for overhang must not be substituted for these denominator components. This is an annual addition to the share limit, not a replenishment to make unissued reserve equal 5% of fully-diluted shares. If the Board selects a smaller amount under either formula, the actual difference may be smaller or zero. Exercised warrant shares are counted as outstanding shares and are not counted again as warrant shares. Expired or cancelled warrants are excluded.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Expected effect and dilution information</w:t>
      </w:r>
    </w:p>
    <w:p>
      <w:pPr>
        <w:spacing w:after="0" w:line="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following estimate of the next evergreen is illustrative only because the actual calculation will use the Company’s capitalization on December 31, 2026 and may be reduced by the Board. Share numbers are also calculated before any future reverse split; split-adjusted figures will be computed under the Plan’s existing adjustment provisions.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18" w:name="page19"/>
    <w:bookmarkEnd w:id="18"/>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5820" w:type="dxa"/>
            <w:vAlign w:val="bottom"/>
            <w:tcBorders>
              <w:bottom w:val="single" w:sz="8" w:color="auto"/>
            </w:tcBorders>
          </w:tcPr>
          <w:p>
            <w:pPr>
              <w:ind w:left="1620"/>
              <w:spacing w:after="0"/>
              <w:rPr>
                <w:sz w:val="20"/>
                <w:szCs w:val="20"/>
                <w:color w:val="auto"/>
              </w:rPr>
            </w:pPr>
            <w:r>
              <w:rPr>
                <w:rFonts w:ascii="Arial" w:cs="Arial" w:eastAsia="Arial" w:hAnsi="Arial"/>
                <w:sz w:val="17"/>
                <w:szCs w:val="17"/>
                <w:b w:val="1"/>
                <w:bCs w:val="1"/>
                <w:color w:val="auto"/>
              </w:rPr>
              <w:t>Capitalization and Plan measure</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June 30, 2026 historical amount</w:t>
            </w: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Common Stock</w:t>
            </w:r>
          </w:p>
        </w:tc>
        <w:tc>
          <w:tcPr>
            <w:tcW w:w="2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26,307,211</w:t>
            </w:r>
          </w:p>
        </w:tc>
        <w:tc>
          <w:tcPr>
            <w:tcW w:w="0" w:type="dxa"/>
            <w:vAlign w:val="bottom"/>
          </w:tcPr>
          <w:p>
            <w:pPr>
              <w:spacing w:after="0"/>
              <w:rPr>
                <w:sz w:val="1"/>
                <w:szCs w:val="1"/>
                <w:color w:val="auto"/>
              </w:rPr>
            </w:pPr>
          </w:p>
        </w:tc>
      </w:tr>
      <w:tr>
        <w:trPr>
          <w:trHeight w:val="184"/>
        </w:trPr>
        <w:tc>
          <w:tcPr>
            <w:tcW w:w="5820" w:type="dxa"/>
            <w:vAlign w:val="bottom"/>
          </w:tcPr>
          <w:p>
            <w:pPr>
              <w:ind w:left="20"/>
              <w:spacing w:after="0" w:line="184" w:lineRule="exact"/>
              <w:rPr>
                <w:sz w:val="20"/>
                <w:szCs w:val="20"/>
                <w:color w:val="auto"/>
              </w:rPr>
            </w:pPr>
            <w:r>
              <w:rPr>
                <w:rFonts w:ascii="Arial" w:cs="Arial" w:eastAsia="Arial" w:hAnsi="Arial"/>
                <w:sz w:val="17"/>
                <w:szCs w:val="17"/>
                <w:color w:val="auto"/>
              </w:rPr>
              <w:t>Gross shares underlying outstanding Plan options for award/overhang</w:t>
            </w:r>
          </w:p>
        </w:tc>
        <w:tc>
          <w:tcPr>
            <w:tcW w:w="2780" w:type="dxa"/>
            <w:vAlign w:val="bottom"/>
            <w:vMerge w:val="restart"/>
          </w:tcPr>
          <w:p>
            <w:pPr>
              <w:jc w:val="center"/>
              <w:spacing w:after="0"/>
              <w:rPr>
                <w:sz w:val="20"/>
                <w:szCs w:val="20"/>
                <w:color w:val="auto"/>
              </w:rPr>
            </w:pPr>
            <w:r>
              <w:rPr>
                <w:rFonts w:ascii="Arial" w:cs="Arial" w:eastAsia="Arial" w:hAnsi="Arial"/>
                <w:sz w:val="17"/>
                <w:szCs w:val="17"/>
                <w:color w:val="auto"/>
                <w:w w:val="99"/>
              </w:rPr>
              <w:t>98,971</w:t>
            </w:r>
          </w:p>
        </w:tc>
        <w:tc>
          <w:tcPr>
            <w:tcW w:w="0" w:type="dxa"/>
            <w:vAlign w:val="bottom"/>
          </w:tcPr>
          <w:p>
            <w:pPr>
              <w:spacing w:after="0"/>
              <w:rPr>
                <w:sz w:val="1"/>
                <w:szCs w:val="1"/>
                <w:color w:val="auto"/>
              </w:rPr>
            </w:pPr>
          </w:p>
        </w:tc>
      </w:tr>
      <w:tr>
        <w:trPr>
          <w:trHeight w:val="121"/>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reporting</w:t>
            </w: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5820" w:type="dxa"/>
            <w:vAlign w:val="bottom"/>
            <w:vMerge w:val="continue"/>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Net-exercised option shares used in fully-diluted shares, under Section 11.19</w:t>
            </w:r>
          </w:p>
        </w:tc>
        <w:tc>
          <w:tcPr>
            <w:tcW w:w="2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184"/>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Outstanding preferred stock component under Section 11.19, if any</w:t>
            </w:r>
          </w:p>
        </w:tc>
        <w:tc>
          <w:tcPr>
            <w:tcW w:w="2780" w:type="dxa"/>
            <w:vAlign w:val="bottom"/>
          </w:tcPr>
          <w:p>
            <w:pPr>
              <w:jc w:val="center"/>
              <w:spacing w:after="0" w:line="184" w:lineRule="exact"/>
              <w:rPr>
                <w:sz w:val="20"/>
                <w:szCs w:val="20"/>
                <w:color w:val="auto"/>
              </w:rPr>
            </w:pPr>
            <w:r>
              <w:rPr>
                <w:rFonts w:ascii="Arial" w:cs="Arial" w:eastAsia="Arial" w:hAnsi="Arial"/>
                <w:sz w:val="17"/>
                <w:szCs w:val="17"/>
                <w:color w:val="auto"/>
                <w:w w:val="98"/>
              </w:rPr>
              <w:t>0 (no outstanding preferred shares</w:t>
            </w:r>
          </w:p>
        </w:tc>
        <w:tc>
          <w:tcPr>
            <w:tcW w:w="0" w:type="dxa"/>
            <w:vAlign w:val="bottom"/>
          </w:tcPr>
          <w:p>
            <w:pPr>
              <w:spacing w:after="0"/>
              <w:rPr>
                <w:sz w:val="1"/>
                <w:szCs w:val="1"/>
                <w:color w:val="auto"/>
              </w:rPr>
            </w:pPr>
          </w:p>
        </w:tc>
      </w:tr>
      <w:tr>
        <w:trPr>
          <w:trHeight w:val="121"/>
        </w:trPr>
        <w:tc>
          <w:tcPr>
            <w:tcW w:w="5820" w:type="dxa"/>
            <w:vAlign w:val="bottom"/>
            <w:vMerge w:val="continue"/>
          </w:tcPr>
          <w:p>
            <w:pPr>
              <w:spacing w:after="0"/>
              <w:rPr>
                <w:sz w:val="10"/>
                <w:szCs w:val="10"/>
                <w:color w:val="auto"/>
              </w:rPr>
            </w:pPr>
          </w:p>
        </w:tc>
        <w:tc>
          <w:tcPr>
            <w:tcW w:w="2780" w:type="dxa"/>
            <w:vAlign w:val="bottom"/>
            <w:vMerge w:val="restart"/>
          </w:tcPr>
          <w:p>
            <w:pPr>
              <w:jc w:val="center"/>
              <w:spacing w:after="0"/>
              <w:rPr>
                <w:sz w:val="20"/>
                <w:szCs w:val="20"/>
                <w:color w:val="auto"/>
              </w:rPr>
            </w:pPr>
            <w:r>
              <w:rPr>
                <w:rFonts w:ascii="Arial" w:cs="Arial" w:eastAsia="Arial" w:hAnsi="Arial"/>
                <w:sz w:val="17"/>
                <w:szCs w:val="17"/>
                <w:color w:val="auto"/>
                <w:w w:val="98"/>
              </w:rPr>
              <w:t>reported)</w:t>
            </w:r>
          </w:p>
        </w:tc>
        <w:tc>
          <w:tcPr>
            <w:tcW w:w="0" w:type="dxa"/>
            <w:vAlign w:val="bottom"/>
          </w:tcPr>
          <w:p>
            <w:pPr>
              <w:spacing w:after="0"/>
              <w:rPr>
                <w:sz w:val="1"/>
                <w:szCs w:val="1"/>
                <w:color w:val="auto"/>
              </w:rPr>
            </w:pPr>
          </w:p>
        </w:tc>
      </w:tr>
      <w:tr>
        <w:trPr>
          <w:trHeight w:val="100"/>
        </w:trPr>
        <w:tc>
          <w:tcPr>
            <w:tcW w:w="582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5455920" cy="135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5920" cy="13525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p>
      <w:pPr>
        <w:ind w:left="220"/>
        <w:spacing w:after="0"/>
        <w:rPr>
          <w:sz w:val="20"/>
          <w:szCs w:val="20"/>
          <w:color w:val="auto"/>
        </w:rPr>
      </w:pPr>
      <w:r>
        <w:rPr>
          <w:rFonts w:ascii="Arial" w:cs="Arial" w:eastAsia="Arial" w:hAnsi="Arial"/>
          <w:sz w:val="17"/>
          <w:szCs w:val="17"/>
          <w:color w:val="auto"/>
        </w:rPr>
        <w:t>Weighted-average option exercise price and remaining term</w:t>
      </w:r>
    </w:p>
    <w:p>
      <w:pPr>
        <w:spacing w:after="0" w:line="17" w:lineRule="exact"/>
        <w:rPr>
          <w:sz w:val="20"/>
          <w:szCs w:val="20"/>
          <w:color w:val="auto"/>
        </w:rPr>
      </w:pPr>
    </w:p>
    <w:p>
      <w:pPr>
        <w:ind w:left="220" w:right="900"/>
        <w:spacing w:after="0" w:line="246" w:lineRule="auto"/>
        <w:rPr>
          <w:sz w:val="20"/>
          <w:szCs w:val="20"/>
          <w:color w:val="auto"/>
        </w:rPr>
      </w:pPr>
      <w:r>
        <w:rPr>
          <w:rFonts w:ascii="Arial" w:cs="Arial" w:eastAsia="Arial" w:hAnsi="Arial"/>
          <w:sz w:val="17"/>
          <w:szCs w:val="17"/>
          <w:color w:val="auto"/>
        </w:rPr>
        <w:t>Shares underlying outstanding Plan RSUs and other awards, with performance awards at target for fully-diluted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5455920" cy="254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5920" cy="254635"/>
                    </a:xfrm>
                    <a:prstGeom prst="rect">
                      <a:avLst/>
                    </a:prstGeom>
                    <a:noFill/>
                  </pic:spPr>
                </pic:pic>
              </a:graphicData>
            </a:graphic>
          </wp:anchor>
        </w:drawing>
      </w:r>
    </w:p>
    <w:p>
      <w:pPr>
        <w:ind w:left="220" w:right="180"/>
        <w:spacing w:after="0" w:line="246" w:lineRule="auto"/>
        <w:rPr>
          <w:sz w:val="20"/>
          <w:szCs w:val="20"/>
          <w:color w:val="auto"/>
        </w:rPr>
      </w:pPr>
      <w:r>
        <w:rPr>
          <w:rFonts w:ascii="Arial" w:cs="Arial" w:eastAsia="Arial" w:hAnsi="Arial"/>
          <w:sz w:val="17"/>
          <w:szCs w:val="17"/>
          <w:color w:val="auto"/>
        </w:rPr>
        <w:t>Shares underlying awards under other compensation plans counted in fully-diluted shares</w:t>
      </w:r>
    </w:p>
    <w:p>
      <w:pPr>
        <w:ind w:left="220" w:right="340"/>
        <w:spacing w:after="0" w:line="247" w:lineRule="auto"/>
        <w:rPr>
          <w:sz w:val="20"/>
          <w:szCs w:val="20"/>
          <w:color w:val="auto"/>
        </w:rPr>
      </w:pPr>
      <w:r>
        <w:rPr>
          <w:rFonts w:ascii="Arial" w:cs="Arial" w:eastAsia="Arial" w:hAnsi="Arial"/>
          <w:sz w:val="17"/>
          <w:szCs w:val="17"/>
          <w:color w:val="auto"/>
        </w:rPr>
        <w:t>Shares underlying other qualifying equity/convertible securities, excluding warrants and duplication</w:t>
      </w:r>
    </w:p>
    <w:p>
      <w:pPr>
        <w:spacing w:after="0" w:line="20" w:lineRule="exact"/>
        <w:rPr>
          <w:sz w:val="20"/>
          <w:szCs w:val="20"/>
          <w:color w:val="auto"/>
        </w:rPr>
      </w:pPr>
      <w:r>
        <w:rPr>
          <w:sz w:val="20"/>
          <w:szCs w:val="20"/>
          <w:color w:val="auto"/>
        </w:rPr>
        <w:br w:type="column"/>
      </w:r>
    </w:p>
    <w:p>
      <w:pPr>
        <w:jc w:val="center"/>
        <w:ind w:right="939"/>
        <w:spacing w:after="0"/>
        <w:rPr>
          <w:sz w:val="20"/>
          <w:szCs w:val="20"/>
          <w:color w:val="auto"/>
        </w:rPr>
      </w:pPr>
      <w:r>
        <w:rPr>
          <w:rFonts w:ascii="Arial" w:cs="Arial" w:eastAsia="Arial" w:hAnsi="Arial"/>
          <w:sz w:val="16"/>
          <w:szCs w:val="16"/>
          <w:color w:val="auto"/>
        </w:rPr>
        <w:t>$473.68; 6.1 years</w:t>
      </w:r>
    </w:p>
    <w:p>
      <w:pPr>
        <w:spacing w:after="0" w:line="108" w:lineRule="exact"/>
        <w:rPr>
          <w:sz w:val="20"/>
          <w:szCs w:val="20"/>
          <w:color w:val="auto"/>
        </w:rPr>
      </w:pPr>
    </w:p>
    <w:p>
      <w:pPr>
        <w:jc w:val="center"/>
        <w:ind w:right="939"/>
        <w:spacing w:after="0"/>
        <w:rPr>
          <w:sz w:val="20"/>
          <w:szCs w:val="20"/>
          <w:color w:val="auto"/>
        </w:rPr>
      </w:pPr>
      <w:r>
        <w:rPr>
          <w:rFonts w:ascii="Arial" w:cs="Arial" w:eastAsia="Arial" w:hAnsi="Arial"/>
          <w:sz w:val="17"/>
          <w:szCs w:val="17"/>
          <w:color w:val="auto"/>
        </w:rPr>
        <w:t>12,066,733</w:t>
      </w:r>
    </w:p>
    <w:p>
      <w:pPr>
        <w:spacing w:after="0" w:line="205" w:lineRule="exact"/>
        <w:rPr>
          <w:sz w:val="20"/>
          <w:szCs w:val="20"/>
          <w:color w:val="auto"/>
        </w:rPr>
      </w:pPr>
    </w:p>
    <w:p>
      <w:pPr>
        <w:jc w:val="center"/>
        <w:ind w:right="939"/>
        <w:spacing w:after="0"/>
        <w:rPr>
          <w:sz w:val="20"/>
          <w:szCs w:val="20"/>
          <w:color w:val="auto"/>
        </w:rPr>
      </w:pPr>
      <w:r>
        <w:rPr>
          <w:rFonts w:ascii="Arial" w:cs="Arial" w:eastAsia="Arial" w:hAnsi="Arial"/>
          <w:sz w:val="17"/>
          <w:szCs w:val="17"/>
          <w:color w:val="auto"/>
        </w:rPr>
        <w:t>5,805,852</w:t>
      </w:r>
    </w:p>
    <w:p>
      <w:pPr>
        <w:spacing w:after="0" w:line="205" w:lineRule="exact"/>
        <w:rPr>
          <w:sz w:val="20"/>
          <w:szCs w:val="20"/>
          <w:color w:val="auto"/>
        </w:rPr>
      </w:pPr>
    </w:p>
    <w:p>
      <w:pPr>
        <w:jc w:val="center"/>
        <w:ind w:right="939"/>
        <w:spacing w:after="0"/>
        <w:rPr>
          <w:sz w:val="20"/>
          <w:szCs w:val="20"/>
          <w:color w:val="auto"/>
        </w:rPr>
      </w:pPr>
      <w:r>
        <w:rPr>
          <w:rFonts w:ascii="Arial" w:cs="Arial" w:eastAsia="Arial" w:hAnsi="Arial"/>
          <w:sz w:val="17"/>
          <w:szCs w:val="17"/>
          <w:color w:val="auto"/>
        </w:rPr>
        <w:t>2,902,429</w:t>
      </w:r>
    </w:p>
    <w:p>
      <w:pPr>
        <w:spacing w:after="0" w:line="139" w:lineRule="exact"/>
        <w:rPr>
          <w:sz w:val="20"/>
          <w:szCs w:val="20"/>
          <w:color w:val="auto"/>
        </w:rPr>
      </w:pPr>
    </w:p>
    <w:p>
      <w:pPr>
        <w:sectPr>
          <w:pgSz w:w="11900" w:h="16838" w:orient="portrait"/>
          <w:cols w:equalWidth="0" w:num="2">
            <w:col w:w="5980" w:space="720"/>
            <w:col w:w="2319"/>
          </w:cols>
          <w:pgMar w:left="1440" w:top="626" w:right="1440" w:bottom="1440" w:gutter="0" w:footer="0" w:header="0"/>
          <w:type w:val="continuous"/>
        </w:sectPr>
      </w:pPr>
    </w:p>
    <w:tbl>
      <w:tblPr>
        <w:tblLayout w:type="fixed"/>
        <w:tblInd w:w="200" w:type="dxa"/>
        <w:tblCellMar>
          <w:top w:w="0" w:type="dxa"/>
          <w:left w:w="0" w:type="dxa"/>
          <w:bottom w:w="0" w:type="dxa"/>
          <w:right w:w="0" w:type="dxa"/>
        </w:tblCellMar>
      </w:tblPr>
      <w:tr>
        <w:trPr>
          <w:trHeight w:val="195"/>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Fully-diluted shares under current definition, F</w:t>
            </w:r>
          </w:p>
        </w:tc>
        <w:tc>
          <w:tcPr>
            <w:tcW w:w="3720" w:type="dxa"/>
            <w:vAlign w:val="bottom"/>
            <w:shd w:val="clear" w:color="auto" w:fill="CCEEFF"/>
          </w:tcPr>
          <w:p>
            <w:pPr>
              <w:jc w:val="center"/>
              <w:ind w:left="837"/>
              <w:spacing w:after="0"/>
              <w:rPr>
                <w:sz w:val="20"/>
                <w:szCs w:val="20"/>
                <w:color w:val="auto"/>
              </w:rPr>
            </w:pPr>
            <w:r>
              <w:rPr>
                <w:rFonts w:ascii="Arial" w:cs="Arial" w:eastAsia="Arial" w:hAnsi="Arial"/>
                <w:sz w:val="17"/>
                <w:szCs w:val="17"/>
                <w:color w:val="auto"/>
                <w:w w:val="98"/>
              </w:rPr>
              <w:t>47,181,196</w:t>
            </w: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3720" w:type="dxa"/>
            <w:vAlign w:val="bottom"/>
          </w:tcPr>
          <w:p>
            <w:pPr>
              <w:jc w:val="center"/>
              <w:ind w:left="837"/>
              <w:spacing w:after="0" w:line="184" w:lineRule="exact"/>
              <w:rPr>
                <w:sz w:val="20"/>
                <w:szCs w:val="20"/>
                <w:color w:val="auto"/>
              </w:rPr>
            </w:pPr>
            <w:r>
              <w:rPr>
                <w:rFonts w:ascii="Arial" w:cs="Arial" w:eastAsia="Arial" w:hAnsi="Arial"/>
                <w:sz w:val="17"/>
                <w:szCs w:val="17"/>
                <w:color w:val="auto"/>
                <w:w w:val="98"/>
              </w:rPr>
              <w:t>49,237,297 includes 24,837,008 pre-</w:t>
            </w:r>
          </w:p>
        </w:tc>
        <w:tc>
          <w:tcPr>
            <w:tcW w:w="0" w:type="dxa"/>
            <w:vAlign w:val="bottom"/>
          </w:tcPr>
          <w:p>
            <w:pPr>
              <w:spacing w:after="0"/>
              <w:rPr>
                <w:sz w:val="1"/>
                <w:szCs w:val="1"/>
                <w:color w:val="auto"/>
              </w:rPr>
            </w:pPr>
          </w:p>
        </w:tc>
      </w:tr>
      <w:tr>
        <w:trPr>
          <w:trHeight w:val="188"/>
        </w:trPr>
        <w:tc>
          <w:tcPr>
            <w:tcW w:w="4880" w:type="dxa"/>
            <w:vAlign w:val="bottom"/>
          </w:tcPr>
          <w:p>
            <w:pPr>
              <w:ind w:left="20"/>
              <w:spacing w:after="0" w:line="188" w:lineRule="exact"/>
              <w:rPr>
                <w:sz w:val="20"/>
                <w:szCs w:val="20"/>
                <w:color w:val="auto"/>
              </w:rPr>
            </w:pPr>
            <w:r>
              <w:rPr>
                <w:rFonts w:ascii="Arial" w:cs="Arial" w:eastAsia="Arial" w:hAnsi="Arial"/>
                <w:sz w:val="17"/>
                <w:szCs w:val="17"/>
                <w:color w:val="auto"/>
              </w:rPr>
              <w:t>Shares underlying qualifying pre-funded warrants, P</w:t>
            </w:r>
          </w:p>
        </w:tc>
        <w:tc>
          <w:tcPr>
            <w:tcW w:w="3720" w:type="dxa"/>
            <w:vAlign w:val="bottom"/>
          </w:tcPr>
          <w:p>
            <w:pPr>
              <w:jc w:val="center"/>
              <w:ind w:left="817"/>
              <w:spacing w:after="0" w:line="188" w:lineRule="exact"/>
              <w:rPr>
                <w:sz w:val="20"/>
                <w:szCs w:val="20"/>
                <w:color w:val="auto"/>
              </w:rPr>
            </w:pPr>
            <w:r>
              <w:rPr>
                <w:rFonts w:ascii="Arial" w:cs="Arial" w:eastAsia="Arial" w:hAnsi="Arial"/>
                <w:sz w:val="17"/>
                <w:szCs w:val="17"/>
                <w:color w:val="auto"/>
                <w:w w:val="98"/>
              </w:rPr>
              <w:t>funded warrants from July 2026</w:t>
            </w:r>
          </w:p>
        </w:tc>
        <w:tc>
          <w:tcPr>
            <w:tcW w:w="0" w:type="dxa"/>
            <w:vAlign w:val="bottom"/>
          </w:tcPr>
          <w:p>
            <w:pPr>
              <w:spacing w:after="0"/>
              <w:rPr>
                <w:sz w:val="1"/>
                <w:szCs w:val="1"/>
                <w:color w:val="auto"/>
              </w:rPr>
            </w:pPr>
          </w:p>
        </w:tc>
      </w:tr>
      <w:tr>
        <w:trPr>
          <w:trHeight w:val="217"/>
        </w:trPr>
        <w:tc>
          <w:tcPr>
            <w:tcW w:w="4880" w:type="dxa"/>
            <w:vAlign w:val="bottom"/>
          </w:tcPr>
          <w:p>
            <w:pPr>
              <w:spacing w:after="0"/>
              <w:rPr>
                <w:sz w:val="18"/>
                <w:szCs w:val="18"/>
                <w:color w:val="auto"/>
              </w:rPr>
            </w:pPr>
          </w:p>
        </w:tc>
        <w:tc>
          <w:tcPr>
            <w:tcW w:w="3720" w:type="dxa"/>
            <w:vAlign w:val="bottom"/>
          </w:tcPr>
          <w:p>
            <w:pPr>
              <w:jc w:val="center"/>
              <w:ind w:left="837"/>
              <w:spacing w:after="0"/>
              <w:rPr>
                <w:sz w:val="20"/>
                <w:szCs w:val="20"/>
                <w:color w:val="auto"/>
              </w:rPr>
            </w:pPr>
            <w:r>
              <w:rPr>
                <w:rFonts w:ascii="Arial" w:cs="Arial" w:eastAsia="Arial" w:hAnsi="Arial"/>
                <w:sz w:val="17"/>
                <w:szCs w:val="17"/>
                <w:color w:val="auto"/>
                <w:w w:val="99"/>
              </w:rPr>
              <w:t>financing</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Fully-diluted shares under amended definition, F + P</w:t>
            </w:r>
          </w:p>
        </w:tc>
        <w:tc>
          <w:tcPr>
            <w:tcW w:w="3720" w:type="dxa"/>
            <w:vAlign w:val="bottom"/>
            <w:shd w:val="clear" w:color="auto" w:fill="CCEEFF"/>
          </w:tcPr>
          <w:p>
            <w:pPr>
              <w:jc w:val="center"/>
              <w:ind w:left="837"/>
              <w:spacing w:after="0"/>
              <w:rPr>
                <w:sz w:val="20"/>
                <w:szCs w:val="20"/>
                <w:color w:val="auto"/>
              </w:rPr>
            </w:pPr>
            <w:r>
              <w:rPr>
                <w:rFonts w:ascii="Arial" w:cs="Arial" w:eastAsia="Arial" w:hAnsi="Arial"/>
                <w:sz w:val="17"/>
                <w:szCs w:val="17"/>
                <w:color w:val="auto"/>
                <w:w w:val="98"/>
              </w:rPr>
              <w:t>96,418,493</w:t>
            </w:r>
          </w:p>
        </w:tc>
        <w:tc>
          <w:tcPr>
            <w:tcW w:w="0" w:type="dxa"/>
            <w:vAlign w:val="bottom"/>
          </w:tcPr>
          <w:p>
            <w:pPr>
              <w:spacing w:after="0"/>
              <w:rPr>
                <w:sz w:val="1"/>
                <w:szCs w:val="1"/>
                <w:color w:val="auto"/>
              </w:rPr>
            </w:pPr>
          </w:p>
        </w:tc>
      </w:tr>
      <w:tr>
        <w:trPr>
          <w:trHeight w:val="184"/>
        </w:trPr>
        <w:tc>
          <w:tcPr>
            <w:tcW w:w="4880" w:type="dxa"/>
            <w:vAlign w:val="bottom"/>
            <w:vMerge w:val="restart"/>
          </w:tcPr>
          <w:p>
            <w:pPr>
              <w:ind w:left="20"/>
              <w:spacing w:after="0"/>
              <w:rPr>
                <w:sz w:val="20"/>
                <w:szCs w:val="20"/>
                <w:color w:val="auto"/>
              </w:rPr>
            </w:pPr>
            <w:r>
              <w:rPr>
                <w:rFonts w:ascii="Arial" w:cs="Arial" w:eastAsia="Arial" w:hAnsi="Arial"/>
                <w:sz w:val="17"/>
                <w:szCs w:val="17"/>
                <w:color w:val="auto"/>
              </w:rPr>
              <w:t>Ordinary warrant shares remaining excluded</w:t>
            </w:r>
          </w:p>
        </w:tc>
        <w:tc>
          <w:tcPr>
            <w:tcW w:w="3720" w:type="dxa"/>
            <w:vAlign w:val="bottom"/>
          </w:tcPr>
          <w:p>
            <w:pPr>
              <w:jc w:val="center"/>
              <w:ind w:left="837"/>
              <w:spacing w:after="0" w:line="184" w:lineRule="exact"/>
              <w:rPr>
                <w:sz w:val="20"/>
                <w:szCs w:val="20"/>
                <w:color w:val="auto"/>
              </w:rPr>
            </w:pPr>
            <w:r>
              <w:rPr>
                <w:rFonts w:ascii="Arial" w:cs="Arial" w:eastAsia="Arial" w:hAnsi="Arial"/>
                <w:sz w:val="17"/>
                <w:szCs w:val="17"/>
                <w:color w:val="auto"/>
                <w:w w:val="97"/>
              </w:rPr>
              <w:t>116,573,534 ordinary and milestone</w:t>
            </w:r>
          </w:p>
        </w:tc>
        <w:tc>
          <w:tcPr>
            <w:tcW w:w="0" w:type="dxa"/>
            <w:vAlign w:val="bottom"/>
          </w:tcPr>
          <w:p>
            <w:pPr>
              <w:spacing w:after="0"/>
              <w:rPr>
                <w:sz w:val="1"/>
                <w:szCs w:val="1"/>
                <w:color w:val="auto"/>
              </w:rPr>
            </w:pPr>
          </w:p>
        </w:tc>
      </w:tr>
      <w:tr>
        <w:trPr>
          <w:trHeight w:val="121"/>
        </w:trPr>
        <w:tc>
          <w:tcPr>
            <w:tcW w:w="4880" w:type="dxa"/>
            <w:vAlign w:val="bottom"/>
            <w:vMerge w:val="continue"/>
          </w:tcPr>
          <w:p>
            <w:pPr>
              <w:spacing w:after="0"/>
              <w:rPr>
                <w:sz w:val="10"/>
                <w:szCs w:val="10"/>
                <w:color w:val="auto"/>
              </w:rPr>
            </w:pPr>
          </w:p>
        </w:tc>
        <w:tc>
          <w:tcPr>
            <w:tcW w:w="3720" w:type="dxa"/>
            <w:vAlign w:val="bottom"/>
            <w:vMerge w:val="restart"/>
          </w:tcPr>
          <w:p>
            <w:pPr>
              <w:jc w:val="center"/>
              <w:ind w:left="837"/>
              <w:spacing w:after="0"/>
              <w:rPr>
                <w:sz w:val="20"/>
                <w:szCs w:val="20"/>
                <w:color w:val="auto"/>
              </w:rPr>
            </w:pPr>
            <w:r>
              <w:rPr>
                <w:rFonts w:ascii="Arial" w:cs="Arial" w:eastAsia="Arial" w:hAnsi="Arial"/>
                <w:sz w:val="17"/>
                <w:szCs w:val="17"/>
                <w:color w:val="auto"/>
                <w:w w:val="97"/>
              </w:rPr>
              <w:t>warrant shares reported</w:t>
            </w:r>
          </w:p>
        </w:tc>
        <w:tc>
          <w:tcPr>
            <w:tcW w:w="0" w:type="dxa"/>
            <w:vAlign w:val="bottom"/>
          </w:tcPr>
          <w:p>
            <w:pPr>
              <w:spacing w:after="0"/>
              <w:rPr>
                <w:sz w:val="1"/>
                <w:szCs w:val="1"/>
                <w:color w:val="auto"/>
              </w:rPr>
            </w:pPr>
          </w:p>
        </w:tc>
      </w:tr>
      <w:tr>
        <w:trPr>
          <w:trHeight w:val="100"/>
        </w:trPr>
        <w:tc>
          <w:tcPr>
            <w:tcW w:w="488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5455920" cy="135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5920" cy="13525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p>
      <w:pPr>
        <w:ind w:left="220"/>
        <w:spacing w:after="0"/>
        <w:rPr>
          <w:sz w:val="20"/>
          <w:szCs w:val="20"/>
          <w:color w:val="auto"/>
        </w:rPr>
      </w:pPr>
      <w:r>
        <w:rPr>
          <w:rFonts w:ascii="Arial" w:cs="Arial" w:eastAsia="Arial" w:hAnsi="Arial"/>
          <w:sz w:val="17"/>
          <w:szCs w:val="17"/>
          <w:color w:val="auto"/>
        </w:rPr>
        <w:t>Plan shares currently available for future awards</w:t>
      </w:r>
    </w:p>
    <w:p>
      <w:pPr>
        <w:spacing w:after="0" w:line="17" w:lineRule="exact"/>
        <w:rPr>
          <w:sz w:val="20"/>
          <w:szCs w:val="20"/>
          <w:color w:val="auto"/>
        </w:rPr>
      </w:pPr>
    </w:p>
    <w:p>
      <w:pPr>
        <w:ind w:left="220" w:right="680"/>
        <w:spacing w:after="0" w:line="246" w:lineRule="auto"/>
        <w:rPr>
          <w:sz w:val="20"/>
          <w:szCs w:val="20"/>
          <w:color w:val="auto"/>
        </w:rPr>
      </w:pPr>
      <w:r>
        <w:rPr>
          <w:rFonts w:ascii="Arial" w:cs="Arial" w:eastAsia="Arial" w:hAnsi="Arial"/>
          <w:sz w:val="17"/>
          <w:szCs w:val="17"/>
          <w:color w:val="auto"/>
        </w:rPr>
        <w:t>Illustrative next annual increase at 5% before Board reduction — existing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5455920" cy="254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5920" cy="254635"/>
                    </a:xfrm>
                    <a:prstGeom prst="rect">
                      <a:avLst/>
                    </a:prstGeom>
                    <a:noFill/>
                  </pic:spPr>
                </pic:pic>
              </a:graphicData>
            </a:graphic>
          </wp:anchor>
        </w:drawing>
      </w:r>
    </w:p>
    <w:p>
      <w:pPr>
        <w:ind w:left="220" w:right="560"/>
        <w:spacing w:after="0" w:line="246" w:lineRule="auto"/>
        <w:rPr>
          <w:sz w:val="20"/>
          <w:szCs w:val="20"/>
          <w:color w:val="auto"/>
        </w:rPr>
      </w:pPr>
      <w:r>
        <w:rPr>
          <w:rFonts w:ascii="Arial" w:cs="Arial" w:eastAsia="Arial" w:hAnsi="Arial"/>
          <w:sz w:val="17"/>
          <w:szCs w:val="17"/>
          <w:color w:val="auto"/>
        </w:rPr>
        <w:t>Illustrative next annual increase at 5% before Board reduction — amended definition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5,805,852</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2,359,060</w:t>
      </w:r>
    </w:p>
    <w:p>
      <w:pPr>
        <w:spacing w:after="0" w:line="217" w:lineRule="exact"/>
        <w:rPr>
          <w:sz w:val="20"/>
          <w:szCs w:val="20"/>
          <w:color w:val="auto"/>
        </w:rPr>
      </w:pPr>
    </w:p>
    <w:p>
      <w:pPr>
        <w:jc w:val="center"/>
        <w:ind w:right="1259"/>
        <w:spacing w:after="0"/>
        <w:rPr>
          <w:sz w:val="20"/>
          <w:szCs w:val="20"/>
          <w:color w:val="auto"/>
        </w:rPr>
      </w:pPr>
      <w:r>
        <w:rPr>
          <w:rFonts w:ascii="Arial" w:cs="Arial" w:eastAsia="Arial" w:hAnsi="Arial"/>
          <w:sz w:val="16"/>
          <w:szCs w:val="16"/>
          <w:color w:val="auto"/>
        </w:rPr>
        <w:t>4,820,925</w:t>
      </w:r>
    </w:p>
    <w:p>
      <w:pPr>
        <w:spacing w:after="0" w:line="138" w:lineRule="exact"/>
        <w:rPr>
          <w:sz w:val="20"/>
          <w:szCs w:val="20"/>
          <w:color w:val="auto"/>
        </w:rPr>
      </w:pPr>
    </w:p>
    <w:p>
      <w:pPr>
        <w:sectPr>
          <w:pgSz w:w="11900" w:h="16838" w:orient="portrait"/>
          <w:cols w:equalWidth="0" w:num="2">
            <w:col w:w="6300" w:space="720"/>
            <w:col w:w="1999"/>
          </w:cols>
          <w:pgMar w:left="1440" w:top="626" w:right="1440" w:bottom="1440" w:gutter="0" w:footer="0" w:header="0"/>
          <w:type w:val="continuous"/>
        </w:sectPr>
      </w:pPr>
    </w:p>
    <w:tbl>
      <w:tblPr>
        <w:tblLayout w:type="fixed"/>
        <w:tblInd w:w="220" w:type="dxa"/>
        <w:tblCellMar>
          <w:top w:w="0" w:type="dxa"/>
          <w:left w:w="0" w:type="dxa"/>
          <w:bottom w:w="0" w:type="dxa"/>
          <w:right w:w="0" w:type="dxa"/>
        </w:tblCellMar>
      </w:tblP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Illustrative incremental shares — 5% × P</w:t>
            </w:r>
          </w:p>
        </w:tc>
        <w:tc>
          <w:tcPr>
            <w:tcW w:w="2620" w:type="dxa"/>
            <w:vAlign w:val="bottom"/>
          </w:tcPr>
          <w:p>
            <w:pPr>
              <w:jc w:val="right"/>
              <w:spacing w:after="0"/>
              <w:rPr>
                <w:sz w:val="20"/>
                <w:szCs w:val="20"/>
                <w:color w:val="auto"/>
              </w:rPr>
            </w:pPr>
            <w:r>
              <w:rPr>
                <w:rFonts w:ascii="Arial" w:cs="Arial" w:eastAsia="Arial" w:hAnsi="Arial"/>
                <w:sz w:val="17"/>
                <w:szCs w:val="17"/>
                <w:color w:val="auto"/>
              </w:rPr>
              <w:t>2,461,865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-6985</wp:posOffset>
            </wp:positionV>
            <wp:extent cx="5455920" cy="374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5920" cy="374015"/>
                    </a:xfrm>
                    <a:prstGeom prst="rect">
                      <a:avLst/>
                    </a:prstGeom>
                    <a:noFill/>
                  </pic:spPr>
                </pic:pic>
              </a:graphicData>
            </a:graphic>
          </wp:anchor>
        </w:drawing>
      </w:r>
    </w:p>
    <w:p>
      <w:pPr>
        <w:ind w:left="6260"/>
        <w:spacing w:after="0" w:line="230" w:lineRule="auto"/>
        <w:rPr>
          <w:sz w:val="20"/>
          <w:szCs w:val="20"/>
          <w:color w:val="auto"/>
        </w:rPr>
      </w:pPr>
      <w:r>
        <w:rPr>
          <w:rFonts w:ascii="Arial" w:cs="Arial" w:eastAsia="Arial" w:hAnsi="Arial"/>
          <w:sz w:val="17"/>
          <w:szCs w:val="17"/>
          <w:color w:val="auto"/>
        </w:rPr>
        <w:t>Existing: 8,019,790; Proposed:</w:t>
      </w:r>
    </w:p>
    <w:p>
      <w:pPr>
        <w:spacing w:after="0" w:line="1" w:lineRule="exact"/>
        <w:rPr>
          <w:sz w:val="20"/>
          <w:szCs w:val="20"/>
          <w:color w:val="auto"/>
        </w:rPr>
      </w:pPr>
    </w:p>
    <w:p>
      <w:pPr>
        <w:ind w:left="6040" w:right="259" w:hanging="6133"/>
        <w:spacing w:after="0" w:line="272" w:lineRule="auto"/>
        <w:tabs>
          <w:tab w:leader="none" w:pos="6020" w:val="left"/>
        </w:tabs>
        <w:rPr>
          <w:sz w:val="20"/>
          <w:szCs w:val="20"/>
          <w:color w:val="auto"/>
        </w:rPr>
      </w:pPr>
      <w:r>
        <w:rPr>
          <w:rFonts w:ascii="Arial" w:cs="Arial" w:eastAsia="Arial" w:hAnsi="Arial"/>
          <w:sz w:val="17"/>
          <w:szCs w:val="17"/>
          <w:color w:val="auto"/>
        </w:rPr>
        <w:t>Illustrative resulting available Plan reserve after each increase, before grants</w:t>
      </w:r>
      <w:r>
        <w:rPr>
          <w:sz w:val="20"/>
          <w:szCs w:val="20"/>
          <w:color w:val="auto"/>
        </w:rPr>
        <w:tab/>
      </w:r>
      <w:r>
        <w:rPr>
          <w:rFonts w:ascii="Arial" w:cs="Arial" w:eastAsia="Arial" w:hAnsi="Arial"/>
          <w:sz w:val="16"/>
          <w:szCs w:val="16"/>
          <w:color w:val="auto"/>
        </w:rPr>
        <w:t>10,481,655, before grants, recycling, rounding or Board reduction</w:t>
      </w:r>
    </w:p>
    <w:p>
      <w:pPr>
        <w:spacing w:after="0" w:line="156"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On June 30, 2026, the last reported sale price of our Common Stock on the Exchange was $0.72 per share. Awards are generally granted in consideration of service and applicable award conditions; the Company also receives an exercise or purchase price where required by an award. No shares are issued merely because the share limit increases. Dilution occurs as awards are granted and settled or exercised. Outstanding pre-funded warrant shares themselves can dilute holders when issued upon the exercise of pre-funded warrants; they are not new dilution caused by this amendment. The amendment can create additional potential award dilution on top of that existing warrant exposure. Future annual differences cannot be predicted because financing, exercises, forfeitures, other securities and Board decisions change the denominator and Plan reserve.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19" w:name="page20"/>
    <w:bookmarkEnd w:id="19"/>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360" w:type="dxa"/>
            <w:vAlign w:val="bottom"/>
          </w:tcPr>
          <w:p>
            <w:pPr>
              <w:jc w:val="center"/>
              <w:ind w:right="149"/>
              <w:spacing w:after="0"/>
              <w:rPr>
                <w:sz w:val="20"/>
                <w:szCs w:val="20"/>
                <w:color w:val="auto"/>
              </w:rPr>
            </w:pPr>
            <w:r>
              <w:rPr>
                <w:rFonts w:ascii="Arial" w:cs="Arial" w:eastAsia="Arial" w:hAnsi="Arial"/>
                <w:sz w:val="14"/>
                <w:szCs w:val="14"/>
                <w:b w:val="1"/>
                <w:bCs w:val="1"/>
                <w:color w:val="auto"/>
              </w:rPr>
              <w:t>Historical / illustrative overhang</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June 30, 2026,</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After existing-definition</w:t>
            </w:r>
          </w:p>
        </w:tc>
        <w:tc>
          <w:tcPr>
            <w:tcW w:w="24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After amended-definition increase</w:t>
            </w:r>
          </w:p>
        </w:tc>
        <w:tc>
          <w:tcPr>
            <w:tcW w:w="0" w:type="dxa"/>
            <w:vAlign w:val="bottom"/>
          </w:tcPr>
          <w:p>
            <w:pPr>
              <w:spacing w:after="0"/>
              <w:rPr>
                <w:sz w:val="1"/>
                <w:szCs w:val="1"/>
                <w:color w:val="auto"/>
              </w:rPr>
            </w:pPr>
          </w:p>
        </w:tc>
      </w:tr>
      <w:tr>
        <w:trPr>
          <w:trHeight w:val="119"/>
        </w:trPr>
        <w:tc>
          <w:tcPr>
            <w:tcW w:w="2360" w:type="dxa"/>
            <w:vAlign w:val="bottom"/>
            <w:vMerge w:val="restart"/>
          </w:tcPr>
          <w:p>
            <w:pPr>
              <w:jc w:val="center"/>
              <w:ind w:right="149"/>
              <w:spacing w:after="0"/>
              <w:rPr>
                <w:sz w:val="20"/>
                <w:szCs w:val="20"/>
                <w:color w:val="auto"/>
              </w:rPr>
            </w:pPr>
            <w:r>
              <w:rPr>
                <w:rFonts w:ascii="Arial" w:cs="Arial" w:eastAsia="Arial" w:hAnsi="Arial"/>
                <w:sz w:val="14"/>
                <w:szCs w:val="14"/>
                <w:b w:val="1"/>
                <w:bCs w:val="1"/>
                <w:color w:val="auto"/>
              </w:rPr>
              <w:t>measure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increase</w:t>
            </w: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increase</w:t>
            </w: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960" w:type="dxa"/>
            <w:vAlign w:val="bottom"/>
            <w:vMerge w:val="continue"/>
          </w:tcPr>
          <w:p>
            <w:pPr>
              <w:spacing w:after="0"/>
              <w:rPr>
                <w:sz w:val="6"/>
                <w:szCs w:val="6"/>
                <w:color w:val="auto"/>
              </w:rPr>
            </w:pPr>
          </w:p>
        </w:tc>
        <w:tc>
          <w:tcPr>
            <w:tcW w:w="2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6985</wp:posOffset>
            </wp:positionV>
            <wp:extent cx="5455920" cy="246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5920" cy="24638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p>
      <w:pPr>
        <w:spacing w:after="0" w:line="44" w:lineRule="exact"/>
        <w:rPr>
          <w:sz w:val="20"/>
          <w:szCs w:val="20"/>
          <w:color w:val="auto"/>
        </w:rPr>
      </w:pPr>
    </w:p>
    <w:p>
      <w:pPr>
        <w:ind w:left="240" w:right="280"/>
        <w:spacing w:after="0" w:line="261" w:lineRule="auto"/>
        <w:rPr>
          <w:sz w:val="20"/>
          <w:szCs w:val="20"/>
          <w:color w:val="auto"/>
        </w:rPr>
      </w:pPr>
      <w:r>
        <w:rPr>
          <w:rFonts w:ascii="Arial" w:cs="Arial" w:eastAsia="Arial" w:hAnsi="Arial"/>
          <w:sz w:val="14"/>
          <w:szCs w:val="14"/>
          <w:color w:val="auto"/>
        </w:rPr>
        <w:t>This Plan outstanding awards plus available Plan reserve</w:t>
      </w:r>
    </w:p>
    <w:p>
      <w:pPr>
        <w:spacing w:after="0" w:line="26" w:lineRule="exact"/>
        <w:rPr>
          <w:sz w:val="20"/>
          <w:szCs w:val="20"/>
          <w:color w:val="auto"/>
        </w:rPr>
      </w:pPr>
    </w:p>
    <w:p>
      <w:pPr>
        <w:ind w:left="240" w:right="640"/>
        <w:spacing w:after="0" w:line="261" w:lineRule="auto"/>
        <w:rPr>
          <w:sz w:val="20"/>
          <w:szCs w:val="20"/>
          <w:color w:val="auto"/>
        </w:rPr>
      </w:pPr>
      <w:r>
        <w:rPr>
          <w:rFonts w:ascii="Arial" w:cs="Arial" w:eastAsia="Arial" w:hAnsi="Arial"/>
          <w:sz w:val="14"/>
          <w:szCs w:val="14"/>
          <w:color w:val="auto"/>
        </w:rPr>
        <w:t>Plan overhang using defined denominator</w:t>
      </w:r>
    </w:p>
    <w:p>
      <w:pPr>
        <w:spacing w:after="0" w:line="26" w:lineRule="exact"/>
        <w:rPr>
          <w:sz w:val="20"/>
          <w:szCs w:val="20"/>
          <w:color w:val="auto"/>
        </w:rPr>
      </w:pPr>
    </w:p>
    <w:p>
      <w:pPr>
        <w:ind w:left="240"/>
        <w:spacing w:after="0" w:line="261" w:lineRule="auto"/>
        <w:rPr>
          <w:sz w:val="20"/>
          <w:szCs w:val="20"/>
          <w:color w:val="auto"/>
        </w:rPr>
      </w:pPr>
      <w:r>
        <w:rPr>
          <w:rFonts w:ascii="Arial" w:cs="Arial" w:eastAsia="Arial" w:hAnsi="Arial"/>
          <w:sz w:val="14"/>
          <w:szCs w:val="14"/>
          <w:color w:val="auto"/>
        </w:rPr>
        <w:t>Broader equity overhang using defined denominator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20" w:type="dxa"/>
            <w:vAlign w:val="bottom"/>
          </w:tcPr>
          <w:p>
            <w:pPr>
              <w:jc w:val="center"/>
              <w:ind w:right="429"/>
              <w:spacing w:after="0"/>
              <w:rPr>
                <w:sz w:val="20"/>
                <w:szCs w:val="20"/>
                <w:color w:val="auto"/>
              </w:rPr>
            </w:pPr>
            <w:r>
              <w:rPr>
                <w:rFonts w:ascii="Arial" w:cs="Arial" w:eastAsia="Arial" w:hAnsi="Arial"/>
                <w:sz w:val="14"/>
                <w:szCs w:val="14"/>
                <w:color w:val="auto"/>
              </w:rPr>
              <w:t>17,971,556</w:t>
            </w:r>
          </w:p>
        </w:tc>
        <w:tc>
          <w:tcPr>
            <w:tcW w:w="2000" w:type="dxa"/>
            <w:vAlign w:val="bottom"/>
          </w:tcPr>
          <w:p>
            <w:pPr>
              <w:jc w:val="center"/>
              <w:ind w:right="229"/>
              <w:spacing w:after="0"/>
              <w:rPr>
                <w:sz w:val="20"/>
                <w:szCs w:val="20"/>
                <w:color w:val="auto"/>
              </w:rPr>
            </w:pPr>
            <w:r>
              <w:rPr>
                <w:rFonts w:ascii="Arial" w:cs="Arial" w:eastAsia="Arial" w:hAnsi="Arial"/>
                <w:sz w:val="14"/>
                <w:szCs w:val="14"/>
                <w:color w:val="auto"/>
                <w:w w:val="99"/>
              </w:rPr>
              <w:t>20,330,616</w:t>
            </w:r>
          </w:p>
        </w:tc>
        <w:tc>
          <w:tcPr>
            <w:tcW w:w="1500" w:type="dxa"/>
            <w:vAlign w:val="bottom"/>
          </w:tcPr>
          <w:p>
            <w:pPr>
              <w:jc w:val="center"/>
              <w:ind w:left="709"/>
              <w:spacing w:after="0"/>
              <w:rPr>
                <w:sz w:val="20"/>
                <w:szCs w:val="20"/>
                <w:color w:val="auto"/>
              </w:rPr>
            </w:pPr>
            <w:r>
              <w:rPr>
                <w:rFonts w:ascii="Arial" w:cs="Arial" w:eastAsia="Arial" w:hAnsi="Arial"/>
                <w:sz w:val="14"/>
                <w:szCs w:val="14"/>
                <w:color w:val="auto"/>
              </w:rPr>
              <w:t>22,792,481</w:t>
            </w:r>
          </w:p>
        </w:tc>
      </w:tr>
      <w:tr>
        <w:trPr>
          <w:trHeight w:val="376"/>
        </w:trPr>
        <w:tc>
          <w:tcPr>
            <w:tcW w:w="1220" w:type="dxa"/>
            <w:vAlign w:val="bottom"/>
          </w:tcPr>
          <w:p>
            <w:pPr>
              <w:jc w:val="center"/>
              <w:ind w:right="429"/>
              <w:spacing w:after="0"/>
              <w:rPr>
                <w:sz w:val="20"/>
                <w:szCs w:val="20"/>
                <w:color w:val="auto"/>
              </w:rPr>
            </w:pPr>
            <w:r>
              <w:rPr>
                <w:rFonts w:ascii="Arial" w:cs="Arial" w:eastAsia="Arial" w:hAnsi="Arial"/>
                <w:sz w:val="14"/>
                <w:szCs w:val="14"/>
                <w:color w:val="auto"/>
              </w:rPr>
              <w:t>46.7%</w:t>
            </w:r>
          </w:p>
        </w:tc>
        <w:tc>
          <w:tcPr>
            <w:tcW w:w="2000" w:type="dxa"/>
            <w:vAlign w:val="bottom"/>
          </w:tcPr>
          <w:p>
            <w:pPr>
              <w:jc w:val="center"/>
              <w:ind w:right="229"/>
              <w:spacing w:after="0"/>
              <w:rPr>
                <w:sz w:val="20"/>
                <w:szCs w:val="20"/>
                <w:color w:val="auto"/>
              </w:rPr>
            </w:pPr>
            <w:r>
              <w:rPr>
                <w:rFonts w:ascii="Arial" w:cs="Arial" w:eastAsia="Arial" w:hAnsi="Arial"/>
                <w:sz w:val="14"/>
                <w:szCs w:val="14"/>
                <w:color w:val="auto"/>
              </w:rPr>
              <w:t>20.5%</w:t>
            </w:r>
          </w:p>
        </w:tc>
        <w:tc>
          <w:tcPr>
            <w:tcW w:w="1500" w:type="dxa"/>
            <w:vAlign w:val="bottom"/>
          </w:tcPr>
          <w:p>
            <w:pPr>
              <w:jc w:val="center"/>
              <w:ind w:left="709"/>
              <w:spacing w:after="0"/>
              <w:rPr>
                <w:sz w:val="20"/>
                <w:szCs w:val="20"/>
                <w:color w:val="auto"/>
              </w:rPr>
            </w:pPr>
            <w:r>
              <w:rPr>
                <w:rFonts w:ascii="Arial" w:cs="Arial" w:eastAsia="Arial" w:hAnsi="Arial"/>
                <w:sz w:val="14"/>
                <w:szCs w:val="14"/>
                <w:color w:val="auto"/>
              </w:rPr>
              <w:t>13.3%</w:t>
            </w:r>
          </w:p>
        </w:tc>
      </w:tr>
      <w:tr>
        <w:trPr>
          <w:trHeight w:val="376"/>
        </w:trPr>
        <w:tc>
          <w:tcPr>
            <w:tcW w:w="1220" w:type="dxa"/>
            <w:vAlign w:val="bottom"/>
          </w:tcPr>
          <w:p>
            <w:pPr>
              <w:jc w:val="center"/>
              <w:ind w:right="429"/>
              <w:spacing w:after="0"/>
              <w:rPr>
                <w:sz w:val="20"/>
                <w:szCs w:val="20"/>
                <w:color w:val="auto"/>
              </w:rPr>
            </w:pPr>
            <w:r>
              <w:rPr>
                <w:rFonts w:ascii="Arial" w:cs="Arial" w:eastAsia="Arial" w:hAnsi="Arial"/>
                <w:sz w:val="14"/>
                <w:szCs w:val="14"/>
                <w:color w:val="auto"/>
              </w:rPr>
              <w:t>182.2%</w:t>
            </w:r>
          </w:p>
        </w:tc>
        <w:tc>
          <w:tcPr>
            <w:tcW w:w="2000" w:type="dxa"/>
            <w:vAlign w:val="bottom"/>
          </w:tcPr>
          <w:p>
            <w:pPr>
              <w:jc w:val="center"/>
              <w:ind w:right="229"/>
              <w:spacing w:after="0"/>
              <w:rPr>
                <w:sz w:val="20"/>
                <w:szCs w:val="20"/>
                <w:color w:val="auto"/>
              </w:rPr>
            </w:pPr>
            <w:r>
              <w:rPr>
                <w:rFonts w:ascii="Arial" w:cs="Arial" w:eastAsia="Arial" w:hAnsi="Arial"/>
                <w:sz w:val="14"/>
                <w:szCs w:val="14"/>
                <w:color w:val="auto"/>
              </w:rPr>
              <w:t>79.9%</w:t>
            </w:r>
          </w:p>
        </w:tc>
        <w:tc>
          <w:tcPr>
            <w:tcW w:w="1500" w:type="dxa"/>
            <w:vAlign w:val="bottom"/>
          </w:tcPr>
          <w:p>
            <w:pPr>
              <w:jc w:val="center"/>
              <w:ind w:left="709"/>
              <w:spacing w:after="0"/>
              <w:rPr>
                <w:sz w:val="20"/>
                <w:szCs w:val="20"/>
                <w:color w:val="auto"/>
              </w:rPr>
            </w:pPr>
            <w:r>
              <w:rPr>
                <w:rFonts w:ascii="Arial" w:cs="Arial" w:eastAsia="Arial" w:hAnsi="Arial"/>
                <w:sz w:val="14"/>
                <w:szCs w:val="14"/>
                <w:color w:val="auto"/>
              </w:rPr>
              <w:t>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-178435</wp:posOffset>
            </wp:positionV>
            <wp:extent cx="5455920" cy="238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5920" cy="23876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2680" w:space="500"/>
            <w:col w:w="5839"/>
          </w:cols>
          <w:pgMar w:left="1440" w:top="626" w:right="1440" w:bottom="1440" w:gutter="0" w:footer="0" w:header="0"/>
          <w:type w:val="continuous"/>
        </w:sectPr>
      </w:pP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Exchange stockholder approval</w:t>
      </w:r>
    </w:p>
    <w:p>
      <w:pPr>
        <w:spacing w:after="0" w:line="9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Section 711 of the Company Guide requires stockholder approval of equity compensation plans and material amendments, subject to specified exceptions. This amendment can materially increase the number of shares available through the evergreen and is submitted for stockholder approval. It is not treated as a merely technical change or as an existing automatic increase already approved under the current denominator. Section 713 of the Company Guide requires approval for a particular financing issuance, which is separate and is not sought by this proposal. The Board will not apply the broadened denominator without stockholder approval of the amendment. Any required Exchange supplemental listing application or notification will be completed before shares are issued under the additional capacity.</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Summary of material Plan provisions</w:t>
      </w:r>
    </w:p>
    <w:p>
      <w:pPr>
        <w:spacing w:after="0" w:line="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following describes the Plan as amended and is qualified by the complete text in Appendix B. The limited-purpose amendment and restatement does not change the provisions summarized below, except the fully-diluted shares definition expressly described above.</w:t>
      </w:r>
    </w:p>
    <w:p>
      <w:pPr>
        <w:spacing w:after="0" w:line="63"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b w:val="1"/>
          <w:bCs w:val="1"/>
          <w:color w:val="auto"/>
        </w:rPr>
        <w:t>Eligibility and administration</w:t>
      </w:r>
      <w:r>
        <w:rPr>
          <w:rFonts w:ascii="Arial" w:cs="Arial" w:eastAsia="Arial" w:hAnsi="Arial"/>
          <w:sz w:val="17"/>
          <w:szCs w:val="17"/>
          <w:color w:val="auto"/>
        </w:rPr>
        <w:t>. Employees and consultants of the Company and its subsidiaries and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are eligible, subject to Plan limitations. The Administrator is the Board or a committee acting under the Plan and applicable law, with authority to select recipients, set award terms, interpret and administer the Plan and delegate as permitted. Incentive stock options may be granted only to eligible employees of the Company, qualifying parent or subsidiary corporations and other entities whose employees are eligible under the Code. As of October 23, 2026, approximately nine employees (including five executive officers), five nonemployee directors and less than ten consultants were eligible to participate in the Plan.</w:t>
      </w:r>
    </w:p>
    <w:p>
      <w:pPr>
        <w:spacing w:after="0" w:line="70"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b w:val="1"/>
          <w:bCs w:val="1"/>
          <w:color w:val="auto"/>
        </w:rPr>
        <w:t>Share limit and recycling</w:t>
      </w:r>
      <w:r>
        <w:rPr>
          <w:rFonts w:ascii="Arial" w:cs="Arial" w:eastAsia="Arial" w:hAnsi="Arial"/>
          <w:sz w:val="17"/>
          <w:szCs w:val="17"/>
          <w:color w:val="auto"/>
        </w:rPr>
        <w:t>. The current share limit under the Plan is 17,910,413 shares, plus annual evergreen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additions and the specified returning shares from the Prior Plan, each subject to capital adjustments. Awards that expire, lapse or terminate without full exercise, are forfeited or repurchased at a price not greater than the participant's price paid, as adjusted for an Equity Restructuring, or are paid in cash may return shares as provided in Section 4.2. Shares delivered or retained for an exercise or purchase price or tax withholding return to the pool under Section 4.2. Unissued shares underlying stock-settled SARs and shares repurchased in the market with option proceeds do not return. This recycling can increase available shares beyond the fixed limit and annual additions. Substitute Awards are treated under Section 4.4. The maximum number of shares issuable under incentive stock options is 20,000,000, subject to applicable adjustments. Shares underlying warrants other than Pre-Funded Warrants are not added to the evergreen denominator by this amendment.</w:t>
      </w:r>
    </w:p>
    <w:p>
      <w:pPr>
        <w:spacing w:after="0" w:line="7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b w:val="1"/>
          <w:bCs w:val="1"/>
          <w:color w:val="auto"/>
        </w:rPr>
        <w:t xml:space="preserve">Award types and terms. </w:t>
      </w:r>
      <w:r>
        <w:rPr>
          <w:rFonts w:ascii="Arial" w:cs="Arial" w:eastAsia="Arial" w:hAnsi="Arial"/>
          <w:sz w:val="17"/>
          <w:szCs w:val="17"/>
          <w:color w:val="auto"/>
        </w:rPr>
        <w:t>The Plan permits incentive and nonqualified stock options, stock appreciation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restricted stock units, dividend equivalents and other stock or cash-based awards. Award agreements set vesting, performance, settlement and other terms. Options and SARs generally have an exercise price at least equal to fair market value on grant, subject to Plan exceptions including Substitute Awards and applicable tax law. An incentive option to a greater-than -10% holder requires the applicable 110% price and shorter term. Options and SARs generally may not exceed ten years, and incentive options to such holders generally may not exceed five years. Shares or other permitted consideration may pay the price and withholding amounts under the Plan.</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20" w:name="page21"/>
    <w:bookmarkEnd w:id="20"/>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b w:val="1"/>
          <w:bCs w:val="1"/>
          <w:color w:val="auto"/>
        </w:rPr>
        <w:t xml:space="preserve">Restricted stock, RSUs and other awards. </w:t>
      </w:r>
      <w:r>
        <w:rPr>
          <w:rFonts w:ascii="Arial" w:cs="Arial" w:eastAsia="Arial" w:hAnsi="Arial"/>
          <w:sz w:val="17"/>
          <w:szCs w:val="17"/>
          <w:color w:val="auto"/>
        </w:rPr>
        <w:t>Restricted shares may be subject to forfeiture and transfer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on unvested restricted stock may not be paid unless and until the applicable vesting conditions are satisfied. RSUs are contractual rights to future shares or cash subject to their terms; they are not presently outstanding shares. Other awards may be cash- or share-based, with performance or other conditions. Dividend equivalents may not be granted with options or SARs and, where otherwise granted, are not paid with respect to unvested awards unless and until the applicable vesting conditions are met. The Plan does not require a particular future grant or allocation as a result of this amendment.</w:t>
      </w:r>
    </w:p>
    <w:p>
      <w:pPr>
        <w:spacing w:after="0" w:line="70"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b w:val="1"/>
          <w:bCs w:val="1"/>
          <w:color w:val="auto"/>
        </w:rPr>
        <w:t xml:space="preserve">Director compensation limit. </w:t>
      </w:r>
      <w:r>
        <w:rPr>
          <w:rFonts w:ascii="Arial" w:cs="Arial" w:eastAsia="Arial" w:hAnsi="Arial"/>
          <w:sz w:val="17"/>
          <w:szCs w:val="17"/>
          <w:color w:val="auto"/>
        </w:rPr>
        <w:t>The aggregate grant-date fair value of awards and cash compensation for a</w:t>
      </w:r>
      <w:r>
        <w:rPr>
          <w:rFonts w:ascii="Arial" w:cs="Arial" w:eastAsia="Arial" w:hAnsi="Arial"/>
          <w:sz w:val="17"/>
          <w:szCs w:val="17"/>
          <w:b w:val="1"/>
          <w:bCs w:val="1"/>
          <w:color w:val="auto"/>
        </w:rPr>
        <w:t xml:space="preserve"> </w:t>
      </w:r>
      <w:r>
        <w:rPr>
          <w:rFonts w:ascii="Arial" w:cs="Arial" w:eastAsia="Arial" w:hAnsi="Arial"/>
          <w:sz w:val="17"/>
          <w:szCs w:val="17"/>
          <w:color w:val="auto"/>
        </w:rPr>
        <w:t>nonemployee director during a calendar year generally cannot exceed $600,000, increased to $750,000 in specified initial-service or chair/lead-independent-director years, subject to the Plan's exclusions and extraordinary-circumstance exception. These cash limits are unchanged. See Section 4.5 for the complete scope, including additional-service and initial-effective-year exclusions.</w:t>
      </w:r>
    </w:p>
    <w:p>
      <w:pPr>
        <w:spacing w:after="0" w:line="70"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b w:val="1"/>
          <w:bCs w:val="1"/>
          <w:color w:val="auto"/>
        </w:rPr>
        <w:t xml:space="preserve">Capital adjustments and corporate transactions. </w:t>
      </w:r>
      <w:r>
        <w:rPr>
          <w:rFonts w:ascii="Arial" w:cs="Arial" w:eastAsia="Arial" w:hAnsi="Arial"/>
          <w:sz w:val="17"/>
          <w:szCs w:val="17"/>
          <w:color w:val="auto"/>
        </w:rPr>
        <w:t>The Administrator is required to equitably adjust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Awards as it deems appropriate in connection with an Equity Restructuring, and may make adjustments and take the other actions specified in Article VIII in connection with the broader corporate transactions and events described in the Plan. In a Change in Control, awards are subject to continuation, conversion, assumption or replacement under the Plan; if an Assumption does not occur and the participant has not had a Termination of Service, the specified acceleration and cancellation/consideration treatment applies. Performance goals are generally deemed met at target unless an applicable award or other written agreement provides otherwise, and Section 409A may limit payment timing. The amendment does not add a new change-in-control benefit. Existing award agreements may contain additional terms.</w:t>
      </w:r>
    </w:p>
    <w:p>
      <w:pPr>
        <w:spacing w:after="0" w:line="68"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b w:val="1"/>
          <w:bCs w:val="1"/>
          <w:color w:val="auto"/>
        </w:rPr>
        <w:t xml:space="preserve">Repricing, transfer and recoupment. </w:t>
      </w:r>
      <w:r>
        <w:rPr>
          <w:rFonts w:ascii="Arial" w:cs="Arial" w:eastAsia="Arial" w:hAnsi="Arial"/>
          <w:sz w:val="17"/>
          <w:szCs w:val="17"/>
          <w:color w:val="auto"/>
        </w:rPr>
        <w:t>Except for specified corporate transactions, stockholder approval is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repricing and cash-buyout actions specified in Section 9.6. Awards generally are nontransferable other than by will or descent and distribution, subject to Administrator-permitted transfers and Plan requirements. Awards remain subject to applicable Company clawback policies and law. Foreign subplans may be adopted within the Plan's limits.</w:t>
      </w:r>
    </w:p>
    <w:p>
      <w:pPr>
        <w:spacing w:after="0" w:line="70"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b w:val="1"/>
          <w:bCs w:val="1"/>
          <w:color w:val="auto"/>
        </w:rPr>
        <w:t>Amendment and term</w:t>
      </w:r>
      <w:r>
        <w:rPr>
          <w:rFonts w:ascii="Arial" w:cs="Arial" w:eastAsia="Arial" w:hAnsi="Arial"/>
          <w:sz w:val="17"/>
          <w:szCs w:val="17"/>
          <w:color w:val="auto"/>
        </w:rPr>
        <w:t>. The Plan remains in effect for its existing term, ending on January 21, 2036, the tenth</w:t>
      </w:r>
      <w:r>
        <w:rPr>
          <w:rFonts w:ascii="Arial" w:cs="Arial" w:eastAsia="Arial" w:hAnsi="Arial"/>
          <w:sz w:val="17"/>
          <w:szCs w:val="17"/>
          <w:b w:val="1"/>
          <w:bCs w:val="1"/>
          <w:color w:val="auto"/>
        </w:rPr>
        <w:t xml:space="preserve"> </w:t>
      </w:r>
      <w:r>
        <w:rPr>
          <w:rFonts w:ascii="Arial" w:cs="Arial" w:eastAsia="Arial" w:hAnsi="Arial"/>
          <w:sz w:val="17"/>
          <w:szCs w:val="17"/>
          <w:color w:val="auto"/>
        </w:rPr>
        <w:t>anniversary of the Plan Effective Date, unless earlier terminated. Incentive stock options cannot be granted after December 2, 2035. This limited-purpose amendment does not change January 21, 2026 as the effective date used to determine the Plan’s term and does not extend the existing incentive-stock-option grant period. No award may be granted after termination, although outstanding awards remain governed by their terms.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Material United States federal income tax consequences of awards</w:t>
      </w:r>
    </w:p>
    <w:p>
      <w:pPr>
        <w:spacing w:after="0" w:line="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amendment of the denominator is not itself a taxable grant or issuance to any participant or warrant holder. The following summarizes material U.S. federal income tax consequences under current law of awards under the Plan. It does not address all circumstances, foreign, state or local taxes, employment taxes or the special treatment of every participant. Participants should consult their advisers. Tax deductions are subject to limitations including Sections 162(m) and 280G and applicable withholding and reporting requirements.</w:t>
      </w:r>
    </w:p>
    <w:p>
      <w:pPr>
        <w:spacing w:after="0" w:line="70"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6"/>
          <w:szCs w:val="16"/>
          <w:b w:val="1"/>
          <w:bCs w:val="1"/>
          <w:color w:val="auto"/>
        </w:rPr>
        <w:t xml:space="preserve">Nonqualified options and SARs. </w:t>
      </w:r>
      <w:r>
        <w:rPr>
          <w:rFonts w:ascii="Arial" w:cs="Arial" w:eastAsia="Arial" w:hAnsi="Arial"/>
          <w:sz w:val="16"/>
          <w:szCs w:val="16"/>
          <w:color w:val="auto"/>
        </w:rPr>
        <w:t>A nonqualified option generally produces no income at grant if it lacks a readily</w:t>
      </w:r>
      <w:r>
        <w:rPr>
          <w:rFonts w:ascii="Arial" w:cs="Arial" w:eastAsia="Arial" w:hAnsi="Arial"/>
          <w:sz w:val="16"/>
          <w:szCs w:val="16"/>
          <w:b w:val="1"/>
          <w:bCs w:val="1"/>
          <w:color w:val="auto"/>
        </w:rPr>
        <w:t xml:space="preserve"> </w:t>
      </w:r>
      <w:r>
        <w:rPr>
          <w:rFonts w:ascii="Arial" w:cs="Arial" w:eastAsia="Arial" w:hAnsi="Arial"/>
          <w:sz w:val="16"/>
          <w:szCs w:val="16"/>
          <w:color w:val="auto"/>
        </w:rPr>
        <w:t>ascertainable fair market value. At exercise, ordinary income generally equals the fair market value of received shares less the exercise price. Subsequent gain or loss generally is capital gain or loss, with basis equal to exercise-date value. SARs generally produce ordinary income on payment equal to cash plus the value of shares received. The Company generally may deduct the amount included in the participant's income, subject to limitations.</w:t>
      </w:r>
    </w:p>
    <w:p>
      <w:pPr>
        <w:spacing w:after="0" w:line="54"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b w:val="1"/>
          <w:bCs w:val="1"/>
          <w:color w:val="auto"/>
        </w:rPr>
        <w:t xml:space="preserve">Incentive stock options. </w:t>
      </w:r>
      <w:r>
        <w:rPr>
          <w:rFonts w:ascii="Arial" w:cs="Arial" w:eastAsia="Arial" w:hAnsi="Arial"/>
          <w:sz w:val="17"/>
          <w:szCs w:val="17"/>
          <w:color w:val="auto"/>
        </w:rPr>
        <w:t>Grant generally is not taxable. Exercise generally does not produce regular taxable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but may create an alternative minimum tax adjustment. A qualifying disposition after the applicable two-year-from-grant and one-year-from-exercise periods generally produces capital gain or loss, without a Company deduction. A disqualifying disposition generally produces ordinary income limited under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1" w:name="page22"/>
    <w:bookmarkEnd w:id="21"/>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the applicable rules, with any remaining gain or loss treated separately, and a corresponding Company deduction subject to limitations.</w:t>
      </w:r>
    </w:p>
    <w:p>
      <w:pPr>
        <w:spacing w:after="0" w:line="49"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b w:val="1"/>
          <w:bCs w:val="1"/>
          <w:color w:val="auto"/>
        </w:rPr>
        <w:t xml:space="preserve">Restricted stock. </w:t>
      </w:r>
      <w:r>
        <w:rPr>
          <w:rFonts w:ascii="Arial" w:cs="Arial" w:eastAsia="Arial" w:hAnsi="Arial"/>
          <w:sz w:val="17"/>
          <w:szCs w:val="17"/>
          <w:color w:val="auto"/>
        </w:rPr>
        <w:t>Property subject to a substantial risk of forfeiture generally produces ordinary income when it</w:t>
      </w:r>
      <w:r>
        <w:rPr>
          <w:rFonts w:ascii="Arial" w:cs="Arial" w:eastAsia="Arial" w:hAnsi="Arial"/>
          <w:sz w:val="17"/>
          <w:szCs w:val="17"/>
          <w:b w:val="1"/>
          <w:bCs w:val="1"/>
          <w:color w:val="auto"/>
        </w:rPr>
        <w:t xml:space="preserve"> </w:t>
      </w:r>
      <w:r>
        <w:rPr>
          <w:rFonts w:ascii="Arial" w:cs="Arial" w:eastAsia="Arial" w:hAnsi="Arial"/>
          <w:sz w:val="17"/>
          <w:szCs w:val="17"/>
          <w:color w:val="auto"/>
        </w:rPr>
        <w:t>becomes substantially vested, equal to fair market value less the amount paid. A timely Section 83(b) election, ordinarily within 30 days of transfer, instead includes income at transfer and can produce loss limitations if the property is forfeited. Subsequent gain or loss generally is capital. The Company generally has a corresponding deduction subject to limitations.</w:t>
      </w:r>
    </w:p>
    <w:p>
      <w:pPr>
        <w:spacing w:after="0" w:line="70"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b w:val="1"/>
          <w:bCs w:val="1"/>
          <w:color w:val="auto"/>
        </w:rPr>
        <w:t xml:space="preserve">RSUs and other awards. </w:t>
      </w:r>
      <w:r>
        <w:rPr>
          <w:rFonts w:ascii="Arial" w:cs="Arial" w:eastAsia="Arial" w:hAnsi="Arial"/>
          <w:sz w:val="17"/>
          <w:szCs w:val="17"/>
          <w:color w:val="auto"/>
        </w:rPr>
        <w:t>RSUs, cash awards, dividend equivalents and other deferred stock-based awards</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produce ordinary income when paid or settled, subject to Section 409A and other applicable rules. The Company generally may deduct the corresponding amount subject to limitations. An RSU is not property on which a Section 83(b) election is available at grant.</w:t>
      </w:r>
    </w:p>
    <w:p>
      <w:pPr>
        <w:spacing w:after="0" w:line="67"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b w:val="1"/>
          <w:bCs w:val="1"/>
          <w:color w:val="auto"/>
        </w:rPr>
        <w:t xml:space="preserve">Section 409A. </w:t>
      </w:r>
      <w:r>
        <w:rPr>
          <w:rFonts w:ascii="Arial" w:cs="Arial" w:eastAsia="Arial" w:hAnsi="Arial"/>
          <w:sz w:val="17"/>
          <w:szCs w:val="17"/>
          <w:color w:val="auto"/>
        </w:rPr>
        <w:t>Noncompliant deferred compensation can result in accelerated income inclusion, an additional 20%</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tax and interest-related charges, and potentially state consequences. Awards are intended to be exempt from or comply with Section 409A, but favorable tax treatment is not guaranteed. Capital adjustments must be reviewed under the applicable option and deferred-compensation rules. The amendment does not change award payment dates.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New Plan benefits and existing plan grant information</w:t>
      </w:r>
    </w:p>
    <w:p>
      <w:pPr>
        <w:spacing w:after="0" w:line="93"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6"/>
          <w:szCs w:val="16"/>
          <w:color w:val="auto"/>
        </w:rPr>
        <w:t>Future discretionary benefits under the Plan as amended and restated are not presently determinable because recipients, amounts and award terms depend on future Administrator action. Our Director Compensation Program provides for initial awards with a grant-date fair value of approximately $180,000 and annual awards with a grant-date fair value of approximately $150,000 per eligible director, subject to its terms, continued service and any Board revision of the program; the resulting unit count depends on the future grant-date valuation. The following table reflects that formula for our five compensated nonemployee directors in 2025. The limited-purpose amendment and restatement would not have changed the 2025 awards described below because it creates no immediate fixed reserve and the amended evergreen provisions would first apply to an increase in 2027. Existing historical awards, including cash-settled awards later converted to shares, are disclosed in the compensation tables.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00"/>
        </w:trPr>
        <w:tc>
          <w:tcPr>
            <w:tcW w:w="446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Name</w:t>
            </w:r>
          </w:p>
        </w:tc>
        <w:tc>
          <w:tcPr>
            <w:tcW w:w="19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Dollar value</w:t>
            </w:r>
          </w:p>
        </w:tc>
        <w:tc>
          <w:tcPr>
            <w:tcW w:w="22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Number of units</w:t>
            </w:r>
          </w:p>
        </w:tc>
      </w:tr>
      <w:tr>
        <w:trPr>
          <w:trHeight w:val="223"/>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Jost Fischer</w:t>
            </w:r>
          </w:p>
        </w:tc>
        <w:tc>
          <w:tcPr>
            <w:tcW w:w="190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auto"/>
              </w:rPr>
              <w:t>$150,000</w:t>
            </w:r>
          </w:p>
        </w:tc>
        <w:tc>
          <w:tcPr>
            <w:tcW w:w="22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308,641</w:t>
            </w:r>
          </w:p>
        </w:tc>
      </w:tr>
      <w:tr>
        <w:trPr>
          <w:trHeight w:val="216"/>
        </w:trPr>
        <w:tc>
          <w:tcPr>
            <w:tcW w:w="4460" w:type="dxa"/>
            <w:vAlign w:val="bottom"/>
          </w:tcPr>
          <w:p>
            <w:pPr>
              <w:ind w:left="40"/>
              <w:spacing w:after="0"/>
              <w:rPr>
                <w:sz w:val="20"/>
                <w:szCs w:val="20"/>
                <w:color w:val="auto"/>
              </w:rPr>
            </w:pPr>
            <w:r>
              <w:rPr>
                <w:rFonts w:ascii="Arial" w:cs="Arial" w:eastAsia="Arial" w:hAnsi="Arial"/>
                <w:sz w:val="14"/>
                <w:szCs w:val="14"/>
                <w:color w:val="auto"/>
              </w:rPr>
              <w:t>Eric Carter</w:t>
            </w:r>
          </w:p>
        </w:tc>
        <w:tc>
          <w:tcPr>
            <w:tcW w:w="1900" w:type="dxa"/>
            <w:vAlign w:val="bottom"/>
          </w:tcPr>
          <w:p>
            <w:pPr>
              <w:jc w:val="center"/>
              <w:ind w:right="109"/>
              <w:spacing w:after="0"/>
              <w:rPr>
                <w:sz w:val="20"/>
                <w:szCs w:val="20"/>
                <w:color w:val="auto"/>
              </w:rPr>
            </w:pPr>
            <w:r>
              <w:rPr>
                <w:rFonts w:ascii="Arial" w:cs="Arial" w:eastAsia="Arial" w:hAnsi="Arial"/>
                <w:sz w:val="14"/>
                <w:szCs w:val="14"/>
                <w:color w:val="auto"/>
              </w:rPr>
              <w:t>$150,000</w:t>
            </w:r>
          </w:p>
        </w:tc>
        <w:tc>
          <w:tcPr>
            <w:tcW w:w="2240" w:type="dxa"/>
            <w:vAlign w:val="bottom"/>
          </w:tcPr>
          <w:p>
            <w:pPr>
              <w:jc w:val="center"/>
              <w:ind w:left="49"/>
              <w:spacing w:after="0"/>
              <w:rPr>
                <w:sz w:val="20"/>
                <w:szCs w:val="20"/>
                <w:color w:val="auto"/>
              </w:rPr>
            </w:pPr>
            <w:r>
              <w:rPr>
                <w:rFonts w:ascii="Arial" w:cs="Arial" w:eastAsia="Arial" w:hAnsi="Arial"/>
                <w:sz w:val="14"/>
                <w:szCs w:val="14"/>
                <w:color w:val="auto"/>
              </w:rPr>
              <w:t>308,641</w:t>
            </w:r>
          </w:p>
        </w:tc>
      </w:tr>
      <w:tr>
        <w:trPr>
          <w:trHeight w:val="235"/>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Robert Palmisano</w:t>
            </w:r>
          </w:p>
        </w:tc>
        <w:tc>
          <w:tcPr>
            <w:tcW w:w="190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auto"/>
              </w:rPr>
              <w:t>$150,000</w:t>
            </w:r>
          </w:p>
        </w:tc>
        <w:tc>
          <w:tcPr>
            <w:tcW w:w="22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308,641</w:t>
            </w:r>
          </w:p>
        </w:tc>
      </w:tr>
      <w:tr>
        <w:trPr>
          <w:trHeight w:val="216"/>
        </w:trPr>
        <w:tc>
          <w:tcPr>
            <w:tcW w:w="4460" w:type="dxa"/>
            <w:vAlign w:val="bottom"/>
          </w:tcPr>
          <w:p>
            <w:pPr>
              <w:ind w:left="40"/>
              <w:spacing w:after="0"/>
              <w:rPr>
                <w:sz w:val="20"/>
                <w:szCs w:val="20"/>
                <w:color w:val="auto"/>
              </w:rPr>
            </w:pPr>
            <w:r>
              <w:rPr>
                <w:rFonts w:ascii="Arial" w:cs="Arial" w:eastAsia="Arial" w:hAnsi="Arial"/>
                <w:sz w:val="14"/>
                <w:szCs w:val="14"/>
                <w:color w:val="auto"/>
              </w:rPr>
              <w:t>Shelley Thunen</w:t>
            </w:r>
          </w:p>
        </w:tc>
        <w:tc>
          <w:tcPr>
            <w:tcW w:w="1900" w:type="dxa"/>
            <w:vAlign w:val="bottom"/>
          </w:tcPr>
          <w:p>
            <w:pPr>
              <w:jc w:val="center"/>
              <w:ind w:right="109"/>
              <w:spacing w:after="0"/>
              <w:rPr>
                <w:sz w:val="20"/>
                <w:szCs w:val="20"/>
                <w:color w:val="auto"/>
              </w:rPr>
            </w:pPr>
            <w:r>
              <w:rPr>
                <w:rFonts w:ascii="Arial" w:cs="Arial" w:eastAsia="Arial" w:hAnsi="Arial"/>
                <w:sz w:val="14"/>
                <w:szCs w:val="14"/>
                <w:color w:val="auto"/>
              </w:rPr>
              <w:t>$150,000</w:t>
            </w:r>
          </w:p>
        </w:tc>
        <w:tc>
          <w:tcPr>
            <w:tcW w:w="2240" w:type="dxa"/>
            <w:vAlign w:val="bottom"/>
          </w:tcPr>
          <w:p>
            <w:pPr>
              <w:jc w:val="center"/>
              <w:ind w:left="49"/>
              <w:spacing w:after="0"/>
              <w:rPr>
                <w:sz w:val="20"/>
                <w:szCs w:val="20"/>
                <w:color w:val="auto"/>
              </w:rPr>
            </w:pPr>
            <w:r>
              <w:rPr>
                <w:rFonts w:ascii="Arial" w:cs="Arial" w:eastAsia="Arial" w:hAnsi="Arial"/>
                <w:sz w:val="14"/>
                <w:szCs w:val="14"/>
                <w:color w:val="auto"/>
              </w:rPr>
              <w:t>308,641</w:t>
            </w:r>
          </w:p>
        </w:tc>
      </w:tr>
      <w:tr>
        <w:trPr>
          <w:trHeight w:val="235"/>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Marc Forth</w:t>
            </w:r>
          </w:p>
        </w:tc>
        <w:tc>
          <w:tcPr>
            <w:tcW w:w="190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auto"/>
              </w:rPr>
              <w:t>$180,000</w:t>
            </w:r>
          </w:p>
        </w:tc>
        <w:tc>
          <w:tcPr>
            <w:tcW w:w="22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370,370</w:t>
            </w:r>
          </w:p>
        </w:tc>
      </w:tr>
      <w:tr>
        <w:trPr>
          <w:trHeight w:val="216"/>
        </w:trPr>
        <w:tc>
          <w:tcPr>
            <w:tcW w:w="4460" w:type="dxa"/>
            <w:vAlign w:val="bottom"/>
          </w:tcPr>
          <w:p>
            <w:pPr>
              <w:ind w:left="40"/>
              <w:spacing w:after="0"/>
              <w:rPr>
                <w:sz w:val="20"/>
                <w:szCs w:val="20"/>
                <w:color w:val="auto"/>
              </w:rPr>
            </w:pPr>
            <w:r>
              <w:rPr>
                <w:rFonts w:ascii="Arial" w:cs="Arial" w:eastAsia="Arial" w:hAnsi="Arial"/>
                <w:sz w:val="14"/>
                <w:szCs w:val="14"/>
                <w:color w:val="auto"/>
              </w:rPr>
              <w:t>All current executive officers as a group</w:t>
            </w:r>
          </w:p>
        </w:tc>
        <w:tc>
          <w:tcPr>
            <w:tcW w:w="1900" w:type="dxa"/>
            <w:vAlign w:val="bottom"/>
          </w:tcPr>
          <w:p>
            <w:pPr>
              <w:jc w:val="center"/>
              <w:ind w:right="109"/>
              <w:spacing w:after="0"/>
              <w:rPr>
                <w:sz w:val="20"/>
                <w:szCs w:val="20"/>
                <w:color w:val="auto"/>
              </w:rPr>
            </w:pPr>
            <w:r>
              <w:rPr>
                <w:rFonts w:ascii="Arial" w:cs="Arial" w:eastAsia="Arial" w:hAnsi="Arial"/>
                <w:sz w:val="14"/>
                <w:szCs w:val="14"/>
                <w:color w:val="auto"/>
              </w:rPr>
              <w:t>$1,729,999</w:t>
            </w:r>
          </w:p>
        </w:tc>
        <w:tc>
          <w:tcPr>
            <w:tcW w:w="2240" w:type="dxa"/>
            <w:vAlign w:val="bottom"/>
          </w:tcPr>
          <w:p>
            <w:pPr>
              <w:jc w:val="center"/>
              <w:ind w:left="49"/>
              <w:spacing w:after="0"/>
              <w:rPr>
                <w:sz w:val="20"/>
                <w:szCs w:val="20"/>
                <w:color w:val="auto"/>
              </w:rPr>
            </w:pPr>
            <w:r>
              <w:rPr>
                <w:rFonts w:ascii="Arial" w:cs="Arial" w:eastAsia="Arial" w:hAnsi="Arial"/>
                <w:sz w:val="14"/>
                <w:szCs w:val="14"/>
                <w:color w:val="auto"/>
              </w:rPr>
              <w:t>3,559,669</w:t>
            </w:r>
          </w:p>
        </w:tc>
      </w:tr>
      <w:tr>
        <w:trPr>
          <w:trHeight w:val="235"/>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 current nonemployee directors as a group</w:t>
            </w:r>
          </w:p>
        </w:tc>
        <w:tc>
          <w:tcPr>
            <w:tcW w:w="190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auto"/>
              </w:rPr>
              <w:t>$780,000</w:t>
            </w:r>
          </w:p>
        </w:tc>
        <w:tc>
          <w:tcPr>
            <w:tcW w:w="22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1,604,934</w:t>
            </w:r>
          </w:p>
        </w:tc>
      </w:tr>
      <w:tr>
        <w:trPr>
          <w:trHeight w:val="171"/>
        </w:trPr>
        <w:tc>
          <w:tcPr>
            <w:tcW w:w="4460" w:type="dxa"/>
            <w:vAlign w:val="bottom"/>
          </w:tcPr>
          <w:p>
            <w:pPr>
              <w:ind w:left="40"/>
              <w:spacing w:after="0"/>
              <w:rPr>
                <w:sz w:val="20"/>
                <w:szCs w:val="20"/>
                <w:color w:val="auto"/>
              </w:rPr>
            </w:pPr>
            <w:r>
              <w:rPr>
                <w:rFonts w:ascii="Arial" w:cs="Arial" w:eastAsia="Arial" w:hAnsi="Arial"/>
                <w:sz w:val="14"/>
                <w:szCs w:val="14"/>
                <w:color w:val="auto"/>
              </w:rPr>
              <w:t>All employees, including officers who are not executive officers,</w:t>
            </w:r>
          </w:p>
        </w:tc>
        <w:tc>
          <w:tcPr>
            <w:tcW w:w="1900" w:type="dxa"/>
            <w:vAlign w:val="bottom"/>
          </w:tcPr>
          <w:p>
            <w:pPr>
              <w:jc w:val="center"/>
              <w:ind w:right="109"/>
              <w:spacing w:after="0"/>
              <w:rPr>
                <w:sz w:val="20"/>
                <w:szCs w:val="20"/>
                <w:color w:val="auto"/>
              </w:rPr>
            </w:pPr>
            <w:r>
              <w:rPr>
                <w:rFonts w:ascii="Arial" w:cs="Arial" w:eastAsia="Arial" w:hAnsi="Arial"/>
                <w:sz w:val="14"/>
                <w:szCs w:val="14"/>
                <w:color w:val="auto"/>
              </w:rPr>
              <w:t>$60,000</w:t>
            </w:r>
          </w:p>
        </w:tc>
        <w:tc>
          <w:tcPr>
            <w:tcW w:w="2240" w:type="dxa"/>
            <w:vAlign w:val="bottom"/>
          </w:tcPr>
          <w:p>
            <w:pPr>
              <w:jc w:val="center"/>
              <w:ind w:left="49"/>
              <w:spacing w:after="0"/>
              <w:rPr>
                <w:sz w:val="20"/>
                <w:szCs w:val="20"/>
                <w:color w:val="auto"/>
              </w:rPr>
            </w:pPr>
            <w:r>
              <w:rPr>
                <w:rFonts w:ascii="Arial" w:cs="Arial" w:eastAsia="Arial" w:hAnsi="Arial"/>
                <w:sz w:val="14"/>
                <w:szCs w:val="14"/>
                <w:color w:val="auto"/>
              </w:rPr>
              <w:t>123,456</w:t>
            </w:r>
          </w:p>
        </w:tc>
      </w:tr>
      <w:tr>
        <w:trPr>
          <w:trHeight w:val="186"/>
        </w:trPr>
        <w:tc>
          <w:tcPr>
            <w:tcW w:w="4460" w:type="dxa"/>
            <w:vAlign w:val="bottom"/>
          </w:tcPr>
          <w:p>
            <w:pPr>
              <w:ind w:left="40"/>
              <w:spacing w:after="0"/>
              <w:rPr>
                <w:sz w:val="20"/>
                <w:szCs w:val="20"/>
                <w:color w:val="auto"/>
              </w:rPr>
            </w:pPr>
            <w:r>
              <w:rPr>
                <w:rFonts w:ascii="Arial" w:cs="Arial" w:eastAsia="Arial" w:hAnsi="Arial"/>
                <w:sz w:val="14"/>
                <w:szCs w:val="14"/>
                <w:color w:val="auto"/>
              </w:rPr>
              <w:t>as a group</w:t>
            </w:r>
          </w:p>
        </w:tc>
        <w:tc>
          <w:tcPr>
            <w:tcW w:w="190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202"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following table separately reports cumulative options received by the required persons and groups under the existing Plan, including the Original Plan to the extent it is the same amended plan, through October 23, 2026. It is not limited to outstanding options or last-year grants. Counts must reflect applicable capital adjustments.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2" w:name="page23"/>
    <w:bookmarkEnd w:id="22"/>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00"/>
        </w:trPr>
        <w:tc>
          <w:tcPr>
            <w:tcW w:w="464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Person or group</w:t>
            </w:r>
          </w:p>
        </w:tc>
        <w:tc>
          <w:tcPr>
            <w:tcW w:w="39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option shares cumulatively received</w:t>
            </w:r>
          </w:p>
        </w:tc>
      </w:tr>
      <w:tr>
        <w:trPr>
          <w:trHeight w:val="223"/>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Robert Bancroft</w:t>
            </w:r>
          </w:p>
        </w:tc>
        <w:tc>
          <w:tcPr>
            <w:tcW w:w="396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84"/>
              </w:rPr>
              <w:t>-</w:t>
            </w:r>
          </w:p>
        </w:tc>
      </w:tr>
      <w:tr>
        <w:trPr>
          <w:trHeight w:val="216"/>
        </w:trPr>
        <w:tc>
          <w:tcPr>
            <w:tcW w:w="4640" w:type="dxa"/>
            <w:vAlign w:val="bottom"/>
          </w:tcPr>
          <w:p>
            <w:pPr>
              <w:ind w:left="40"/>
              <w:spacing w:after="0"/>
              <w:rPr>
                <w:sz w:val="20"/>
                <w:szCs w:val="20"/>
                <w:color w:val="auto"/>
              </w:rPr>
            </w:pPr>
            <w:r>
              <w:rPr>
                <w:rFonts w:ascii="Arial" w:cs="Arial" w:eastAsia="Arial" w:hAnsi="Arial"/>
                <w:sz w:val="14"/>
                <w:szCs w:val="14"/>
                <w:color w:val="auto"/>
              </w:rPr>
              <w:t>Marc Forth</w:t>
            </w:r>
          </w:p>
        </w:tc>
        <w:tc>
          <w:tcPr>
            <w:tcW w:w="3960" w:type="dxa"/>
            <w:vAlign w:val="bottom"/>
          </w:tcPr>
          <w:p>
            <w:pPr>
              <w:jc w:val="center"/>
              <w:ind w:right="89"/>
              <w:spacing w:after="0"/>
              <w:rPr>
                <w:sz w:val="20"/>
                <w:szCs w:val="20"/>
                <w:color w:val="auto"/>
              </w:rPr>
            </w:pPr>
            <w:r>
              <w:rPr>
                <w:rFonts w:ascii="Arial" w:cs="Arial" w:eastAsia="Arial" w:hAnsi="Arial"/>
                <w:sz w:val="14"/>
                <w:szCs w:val="14"/>
                <w:color w:val="auto"/>
              </w:rPr>
              <w:t>50,422</w:t>
            </w:r>
          </w:p>
        </w:tc>
      </w:tr>
      <w:tr>
        <w:trPr>
          <w:trHeight w:val="235"/>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Jost Fischer</w:t>
            </w:r>
          </w:p>
        </w:tc>
        <w:tc>
          <w:tcPr>
            <w:tcW w:w="396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rPr>
              <w:t>3,257</w:t>
            </w:r>
          </w:p>
        </w:tc>
      </w:tr>
      <w:tr>
        <w:trPr>
          <w:trHeight w:val="216"/>
        </w:trPr>
        <w:tc>
          <w:tcPr>
            <w:tcW w:w="4640" w:type="dxa"/>
            <w:vAlign w:val="bottom"/>
          </w:tcPr>
          <w:p>
            <w:pPr>
              <w:ind w:left="40"/>
              <w:spacing w:after="0"/>
              <w:rPr>
                <w:sz w:val="20"/>
                <w:szCs w:val="20"/>
                <w:color w:val="auto"/>
              </w:rPr>
            </w:pPr>
            <w:r>
              <w:rPr>
                <w:rFonts w:ascii="Arial" w:cs="Arial" w:eastAsia="Arial" w:hAnsi="Arial"/>
                <w:sz w:val="14"/>
                <w:szCs w:val="14"/>
                <w:color w:val="auto"/>
              </w:rPr>
              <w:t>Chad Oh</w:t>
            </w:r>
          </w:p>
        </w:tc>
        <w:tc>
          <w:tcPr>
            <w:tcW w:w="3960" w:type="dxa"/>
            <w:vAlign w:val="bottom"/>
          </w:tcPr>
          <w:p>
            <w:pPr>
              <w:jc w:val="center"/>
              <w:ind w:right="69"/>
              <w:spacing w:after="0"/>
              <w:rPr>
                <w:sz w:val="20"/>
                <w:szCs w:val="20"/>
                <w:color w:val="auto"/>
              </w:rPr>
            </w:pPr>
            <w:r>
              <w:rPr>
                <w:rFonts w:ascii="Arial" w:cs="Arial" w:eastAsia="Arial" w:hAnsi="Arial"/>
                <w:sz w:val="14"/>
                <w:szCs w:val="14"/>
                <w:color w:val="auto"/>
                <w:w w:val="97"/>
              </w:rPr>
              <w:t>11,949</w:t>
            </w:r>
          </w:p>
        </w:tc>
      </w:tr>
      <w:tr>
        <w:trPr>
          <w:trHeight w:val="235"/>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Alex Wilson</w:t>
            </w:r>
          </w:p>
        </w:tc>
        <w:tc>
          <w:tcPr>
            <w:tcW w:w="396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rPr>
              <w:t>10,542</w:t>
            </w:r>
          </w:p>
        </w:tc>
      </w:tr>
      <w:tr>
        <w:trPr>
          <w:trHeight w:val="216"/>
        </w:trPr>
        <w:tc>
          <w:tcPr>
            <w:tcW w:w="4640" w:type="dxa"/>
            <w:vAlign w:val="bottom"/>
          </w:tcPr>
          <w:p>
            <w:pPr>
              <w:ind w:left="40"/>
              <w:spacing w:after="0"/>
              <w:rPr>
                <w:sz w:val="20"/>
                <w:szCs w:val="20"/>
                <w:color w:val="auto"/>
              </w:rPr>
            </w:pPr>
            <w:r>
              <w:rPr>
                <w:rFonts w:ascii="Arial" w:cs="Arial" w:eastAsia="Arial" w:hAnsi="Arial"/>
                <w:sz w:val="14"/>
                <w:szCs w:val="14"/>
                <w:color w:val="auto"/>
              </w:rPr>
              <w:t>All current executive officers as a group</w:t>
            </w:r>
          </w:p>
        </w:tc>
        <w:tc>
          <w:tcPr>
            <w:tcW w:w="3960" w:type="dxa"/>
            <w:vAlign w:val="bottom"/>
          </w:tcPr>
          <w:p>
            <w:pPr>
              <w:jc w:val="center"/>
              <w:ind w:right="69"/>
              <w:spacing w:after="0"/>
              <w:rPr>
                <w:sz w:val="20"/>
                <w:szCs w:val="20"/>
                <w:color w:val="auto"/>
              </w:rPr>
            </w:pPr>
            <w:r>
              <w:rPr>
                <w:rFonts w:ascii="Arial" w:cs="Arial" w:eastAsia="Arial" w:hAnsi="Arial"/>
                <w:sz w:val="14"/>
                <w:szCs w:val="14"/>
                <w:color w:val="auto"/>
                <w:w w:val="97"/>
              </w:rPr>
              <w:t>24,611</w:t>
            </w:r>
          </w:p>
        </w:tc>
      </w:tr>
      <w:tr>
        <w:trPr>
          <w:trHeight w:val="235"/>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 current nonemployee directors as a group</w:t>
            </w:r>
          </w:p>
        </w:tc>
        <w:tc>
          <w:tcPr>
            <w:tcW w:w="396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rPr>
              <w:t>61,225</w:t>
            </w:r>
          </w:p>
        </w:tc>
      </w:tr>
      <w:tr>
        <w:trPr>
          <w:trHeight w:val="171"/>
        </w:trPr>
        <w:tc>
          <w:tcPr>
            <w:tcW w:w="4640" w:type="dxa"/>
            <w:vAlign w:val="bottom"/>
          </w:tcPr>
          <w:p>
            <w:pPr>
              <w:ind w:left="40"/>
              <w:spacing w:after="0"/>
              <w:rPr>
                <w:sz w:val="20"/>
                <w:szCs w:val="20"/>
                <w:color w:val="auto"/>
              </w:rPr>
            </w:pPr>
            <w:r>
              <w:rPr>
                <w:rFonts w:ascii="Arial" w:cs="Arial" w:eastAsia="Arial" w:hAnsi="Arial"/>
                <w:sz w:val="14"/>
                <w:szCs w:val="14"/>
                <w:color w:val="auto"/>
              </w:rPr>
              <w:t>All employees, including officers who are not executive officers, as a</w:t>
            </w:r>
          </w:p>
        </w:tc>
        <w:tc>
          <w:tcPr>
            <w:tcW w:w="3960" w:type="dxa"/>
            <w:vAlign w:val="bottom"/>
          </w:tcPr>
          <w:p>
            <w:pPr>
              <w:jc w:val="center"/>
              <w:ind w:right="89"/>
              <w:spacing w:after="0"/>
              <w:rPr>
                <w:sz w:val="20"/>
                <w:szCs w:val="20"/>
                <w:color w:val="auto"/>
              </w:rPr>
            </w:pPr>
            <w:r>
              <w:rPr>
                <w:rFonts w:ascii="Arial" w:cs="Arial" w:eastAsia="Arial" w:hAnsi="Arial"/>
                <w:sz w:val="14"/>
                <w:szCs w:val="14"/>
                <w:color w:val="auto"/>
              </w:rPr>
              <w:t>1,200</w:t>
            </w:r>
          </w:p>
        </w:tc>
      </w:tr>
      <w:tr>
        <w:trPr>
          <w:trHeight w:val="186"/>
        </w:trPr>
        <w:tc>
          <w:tcPr>
            <w:tcW w:w="4640" w:type="dxa"/>
            <w:vAlign w:val="bottom"/>
          </w:tcPr>
          <w:p>
            <w:pPr>
              <w:ind w:left="40"/>
              <w:spacing w:after="0"/>
              <w:rPr>
                <w:sz w:val="20"/>
                <w:szCs w:val="20"/>
                <w:color w:val="auto"/>
              </w:rPr>
            </w:pPr>
            <w:r>
              <w:rPr>
                <w:rFonts w:ascii="Arial" w:cs="Arial" w:eastAsia="Arial" w:hAnsi="Arial"/>
                <w:sz w:val="14"/>
                <w:szCs w:val="14"/>
                <w:color w:val="auto"/>
              </w:rPr>
              <w:t>group</w:t>
            </w:r>
          </w:p>
        </w:tc>
        <w:tc>
          <w:tcPr>
            <w:tcW w:w="3960" w:type="dxa"/>
            <w:vAlign w:val="bottom"/>
          </w:tcPr>
          <w:p>
            <w:pPr>
              <w:spacing w:after="0"/>
              <w:rPr>
                <w:sz w:val="16"/>
                <w:szCs w:val="16"/>
                <w:color w:val="auto"/>
              </w:rPr>
            </w:pPr>
          </w:p>
        </w:tc>
      </w:tr>
    </w:tbl>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Interests, consequences and required vote</w:t>
      </w:r>
    </w:p>
    <w:p>
      <w:pPr>
        <w:spacing w:after="0" w:line="93"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Our directors and executive officers, including each person who has served as a director or executive officer at any time since January 1, 2025, the beginning of our last fiscal year, and who remains eligible to participate in the Plan, have an interest in the Equity Plan Proposal because they are eligible to receive awards under the Plan. Under our Director Compensation Program, each eligible nonemployee director receives an annual award with a grant-date fair value of approximately $150,000, which would be granted under the Plan. Because of limits on the number of shares available under the Plan, the 2025 annual director awards were granted as cash -settled restricted stock units in place of options, which the Board later approved for settlement in shares in March 2026. Because the amendment and restatement would result in larger annual evergreen increases, it would increase the number of shares available for these director awards and for awards to our executive officers. Their interests may differ from those of stockholders who are not participants. Current holdings and compensation are disclosed below; future grants remain subject to Administrator discretion and existing limits.</w:t>
      </w:r>
    </w:p>
    <w:p>
      <w:pPr>
        <w:spacing w:after="0" w:line="70"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If approved, the limited-purpose amendment and restatement becomes effective on stockholder approval and will apply to subsequent scheduled evergreen increases, including the first if approval occurs before that increase. It does not add an immediate fixed reserve or retrospectively change a prior increase. If not approved, the existing Plan continues, shares underlying all outstanding warrants remain excluded and existing awards remain outstanding under their terms. Approval or rejection of Proposal 1 or Proposal 3 does not affect this result.</w:t>
      </w:r>
    </w:p>
    <w:p>
      <w:pPr>
        <w:spacing w:after="0" w:line="70"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17"/>
          <w:szCs w:val="17"/>
          <w:color w:val="auto"/>
        </w:rPr>
        <w:t xml:space="preserve">The affirmative vote of a majority in voting power of votes cast is required; votes “FOR” must exceed votes “AGAINST.” Abstentions and broker non-votes have no effect on votes cast. Brokers cannot vote on this non-routine proposal without specific instructions. </w:t>
      </w:r>
      <w:r>
        <w:rPr>
          <w:rFonts w:ascii="Arial" w:cs="Arial" w:eastAsia="Arial" w:hAnsi="Arial"/>
          <w:sz w:val="17"/>
          <w:szCs w:val="17"/>
          <w:b w:val="1"/>
          <w:bCs w:val="1"/>
          <w:color w:val="auto"/>
        </w:rPr>
        <w:t>OUR BOARD OF DIRECTORS RECOMMENDS THAT YOU VOTE “FOR”</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 2 — THE EQUITY PLAN PROPOSAL.</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3" w:name="page24"/>
    <w:bookmarkEnd w:id="23"/>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EXECUTIVE AND DIRECTOR COMPENSATION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Scope and named executive officers</w:t>
      </w:r>
    </w:p>
    <w:p>
      <w:pPr>
        <w:spacing w:after="0" w:line="9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We provide the applicable executive and director compensation information because executive officers and directors participate in the Plan and executive officers are eligible to participate in the ESPP. We are a smaller reporting company and an emerging growth company and use the applicable scaled compensation disclosure requirements. Our named executive officers for the year ended December 31, 2025 were Robert Bancroft, President and Chief Executive Officer; Marc Forth, former President and Chief Executive Officer; Jost Fischer, former Interim President and Chief Executive Officer; Chad Oh, Chief Medical Officer; and Alex Wilson, Chief Legal &amp; Strategy Officer and Corporate Secretary. The current-officer Plan benefit groups above are distinct from this historical compensation population.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Summary compensation table</w:t>
      </w:r>
    </w:p>
    <w:p>
      <w:pPr>
        <w:spacing w:after="0" w:line="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following table reports compensation for the years ended December 31, 2025 and December 31, 2024. Dollar values and award counts in this section are historical and already reflect the February 26, 2025 1-for-72 reverse stock split where applicable.</w:t>
      </w:r>
    </w:p>
    <w:p>
      <w:pPr>
        <w:spacing w:after="0" w:line="6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 xml:space="preserve">Director $ </w:t>
            </w:r>
            <w:r>
              <w:rPr>
                <w:rFonts w:ascii="Arial" w:cs="Arial" w:eastAsia="Arial" w:hAnsi="Arial"/>
                <w:sz w:val="18"/>
                <w:szCs w:val="18"/>
                <w:b w:val="1"/>
                <w:bCs w:val="1"/>
                <w:color w:val="auto"/>
                <w:w w:val="93"/>
                <w:vertAlign w:val="superscript"/>
              </w:rPr>
              <w:t>(4)</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4"/>
              </w:rPr>
              <w:t xml:space="preserve">Bonus $ </w:t>
            </w:r>
            <w:r>
              <w:rPr>
                <w:rFonts w:ascii="Arial" w:cs="Arial" w:eastAsia="Arial" w:hAnsi="Arial"/>
                <w:sz w:val="18"/>
                <w:szCs w:val="18"/>
                <w:b w:val="1"/>
                <w:bCs w:val="1"/>
                <w:color w:val="auto"/>
                <w:w w:val="94"/>
                <w:vertAlign w:val="superscript"/>
              </w:rPr>
              <w:t>(1)</w:t>
            </w:r>
          </w:p>
        </w:tc>
        <w:tc>
          <w:tcPr>
            <w:tcW w:w="860" w:type="dxa"/>
            <w:vAlign w:val="bottom"/>
          </w:tcPr>
          <w:p>
            <w:pPr>
              <w:jc w:val="right"/>
              <w:ind w:right="237"/>
              <w:spacing w:after="0"/>
              <w:rPr>
                <w:sz w:val="20"/>
                <w:szCs w:val="20"/>
                <w:color w:val="auto"/>
              </w:rPr>
            </w:pPr>
            <w:r>
              <w:rPr>
                <w:rFonts w:ascii="Arial" w:cs="Arial" w:eastAsia="Arial" w:hAnsi="Arial"/>
                <w:sz w:val="13"/>
                <w:szCs w:val="13"/>
                <w:b w:val="1"/>
                <w:bCs w:val="1"/>
                <w:color w:val="auto"/>
              </w:rPr>
              <w:t>Stock</w:t>
            </w:r>
          </w:p>
        </w:tc>
        <w:tc>
          <w:tcPr>
            <w:tcW w:w="940" w:type="dxa"/>
            <w:vAlign w:val="bottom"/>
          </w:tcPr>
          <w:p>
            <w:pPr>
              <w:jc w:val="right"/>
              <w:ind w:right="297"/>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580" w:type="dxa"/>
            <w:vAlign w:val="bottom"/>
          </w:tcPr>
          <w:p>
            <w:pPr>
              <w:ind w:left="200"/>
              <w:spacing w:after="0"/>
              <w:rPr>
                <w:sz w:val="20"/>
                <w:szCs w:val="20"/>
                <w:color w:val="auto"/>
              </w:rPr>
            </w:pPr>
            <w:r>
              <w:rPr>
                <w:rFonts w:ascii="Arial" w:cs="Arial" w:eastAsia="Arial" w:hAnsi="Arial"/>
                <w:sz w:val="13"/>
                <w:szCs w:val="13"/>
                <w:b w:val="1"/>
                <w:bCs w:val="1"/>
                <w:color w:val="auto"/>
              </w:rPr>
              <w:t>Year</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Salary $</w:t>
            </w:r>
          </w:p>
        </w:tc>
        <w:tc>
          <w:tcPr>
            <w:tcW w:w="8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tcPr>
          <w:p>
            <w:pPr>
              <w:jc w:val="right"/>
              <w:ind w:right="57"/>
              <w:spacing w:after="0" w:line="156" w:lineRule="exact"/>
              <w:rPr>
                <w:sz w:val="20"/>
                <w:szCs w:val="20"/>
                <w:color w:val="auto"/>
              </w:rPr>
            </w:pPr>
            <w:r>
              <w:rPr>
                <w:rFonts w:ascii="Arial" w:cs="Arial" w:eastAsia="Arial" w:hAnsi="Arial"/>
                <w:sz w:val="13"/>
                <w:szCs w:val="13"/>
                <w:b w:val="1"/>
                <w:bCs w:val="1"/>
                <w:color w:val="auto"/>
                <w:w w:val="97"/>
              </w:rPr>
              <w:t xml:space="preserve">awards $ </w:t>
            </w:r>
            <w:r>
              <w:rPr>
                <w:rFonts w:ascii="Arial" w:cs="Arial" w:eastAsia="Arial" w:hAnsi="Arial"/>
                <w:sz w:val="18"/>
                <w:szCs w:val="18"/>
                <w:b w:val="1"/>
                <w:bCs w:val="1"/>
                <w:color w:val="auto"/>
                <w:w w:val="97"/>
                <w:vertAlign w:val="superscript"/>
              </w:rPr>
              <w:t>(2)</w:t>
            </w:r>
          </w:p>
        </w:tc>
        <w:tc>
          <w:tcPr>
            <w:tcW w:w="940" w:type="dxa"/>
            <w:vAlign w:val="bottom"/>
          </w:tcPr>
          <w:p>
            <w:pPr>
              <w:jc w:val="right"/>
              <w:ind w:right="137"/>
              <w:spacing w:after="0" w:line="156" w:lineRule="exact"/>
              <w:rPr>
                <w:sz w:val="20"/>
                <w:szCs w:val="20"/>
                <w:color w:val="auto"/>
              </w:rPr>
            </w:pPr>
            <w:r>
              <w:rPr>
                <w:rFonts w:ascii="Arial" w:cs="Arial" w:eastAsia="Arial" w:hAnsi="Arial"/>
                <w:sz w:val="13"/>
                <w:szCs w:val="13"/>
                <w:b w:val="1"/>
                <w:bCs w:val="1"/>
                <w:color w:val="auto"/>
                <w:w w:val="97"/>
              </w:rPr>
              <w:t xml:space="preserve">awards $ </w:t>
            </w:r>
            <w:r>
              <w:rPr>
                <w:rFonts w:ascii="Arial" w:cs="Arial" w:eastAsia="Arial" w:hAnsi="Arial"/>
                <w:sz w:val="18"/>
                <w:szCs w:val="18"/>
                <w:b w:val="1"/>
                <w:bCs w:val="1"/>
                <w:color w:val="auto"/>
                <w:w w:val="97"/>
                <w:vertAlign w:val="superscript"/>
              </w:rPr>
              <w:t>(2)</w:t>
            </w: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20" w:type="dxa"/>
            <w:vAlign w:val="bottom"/>
            <w:tcBorders>
              <w:top w:val="single" w:sz="8" w:color="auto"/>
            </w:tcBorders>
            <w:shd w:val="clear" w:color="auto" w:fill="CCEEFF"/>
          </w:tcPr>
          <w:p>
            <w:pPr>
              <w:spacing w:after="0" w:line="118" w:lineRule="exact"/>
              <w:rPr>
                <w:sz w:val="20"/>
                <w:szCs w:val="20"/>
                <w:color w:val="auto"/>
              </w:rPr>
            </w:pPr>
            <w:r>
              <w:rPr>
                <w:rFonts w:ascii="Arial" w:cs="Arial" w:eastAsia="Arial" w:hAnsi="Arial"/>
                <w:sz w:val="13"/>
                <w:szCs w:val="13"/>
                <w:color w:val="auto"/>
              </w:rPr>
              <w:t>Robert Bancroft</w:t>
            </w:r>
          </w:p>
        </w:tc>
        <w:tc>
          <w:tcPr>
            <w:tcW w:w="5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President and Chief Executive Officer</w:t>
            </w:r>
          </w:p>
        </w:tc>
        <w:tc>
          <w:tcPr>
            <w:tcW w:w="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2025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286,438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157,377</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88,197</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21,843</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553,855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200"/>
              <w:spacing w:after="0" w:line="138" w:lineRule="exact"/>
              <w:rPr>
                <w:sz w:val="20"/>
                <w:szCs w:val="20"/>
                <w:color w:val="auto"/>
              </w:rPr>
            </w:pPr>
            <w:r>
              <w:rPr>
                <w:rFonts w:ascii="Arial" w:cs="Arial" w:eastAsia="Arial" w:hAnsi="Arial"/>
                <w:sz w:val="13"/>
                <w:szCs w:val="13"/>
                <w:color w:val="auto"/>
              </w:rPr>
              <w:t>2024</w:t>
            </w: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line="138"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line="138"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12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rPr>
              <w:t>Marc Forth</w:t>
            </w: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Former President and Chief Executive Officer</w:t>
            </w:r>
          </w:p>
        </w:tc>
        <w:tc>
          <w:tcPr>
            <w:tcW w:w="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2025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135,616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33,250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180,000</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348,866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200"/>
              <w:spacing w:after="0" w:line="138" w:lineRule="exact"/>
              <w:rPr>
                <w:sz w:val="20"/>
                <w:szCs w:val="20"/>
                <w:color w:val="auto"/>
              </w:rPr>
            </w:pPr>
            <w:r>
              <w:rPr>
                <w:rFonts w:ascii="Arial" w:cs="Arial" w:eastAsia="Arial" w:hAnsi="Arial"/>
                <w:sz w:val="13"/>
                <w:szCs w:val="13"/>
                <w:color w:val="auto"/>
              </w:rPr>
              <w:t>2024</w:t>
            </w: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550,000</w:t>
            </w: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line="138"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line="138" w:lineRule="exact"/>
              <w:rPr>
                <w:sz w:val="20"/>
                <w:szCs w:val="20"/>
                <w:color w:val="auto"/>
              </w:rPr>
            </w:pPr>
            <w:r>
              <w:rPr>
                <w:rFonts w:ascii="Arial" w:cs="Arial" w:eastAsia="Arial" w:hAnsi="Arial"/>
                <w:sz w:val="13"/>
                <w:szCs w:val="13"/>
                <w:color w:val="auto"/>
              </w:rPr>
              <w:t>392,557</w:t>
            </w:r>
          </w:p>
        </w:tc>
        <w:tc>
          <w:tcPr>
            <w:tcW w:w="940" w:type="dxa"/>
            <w:vAlign w:val="bottom"/>
          </w:tcPr>
          <w:p>
            <w:pPr>
              <w:jc w:val="right"/>
              <w:ind w:right="77"/>
              <w:spacing w:after="0" w:line="138" w:lineRule="exact"/>
              <w:rPr>
                <w:sz w:val="20"/>
                <w:szCs w:val="20"/>
                <w:color w:val="auto"/>
              </w:rPr>
            </w:pPr>
            <w:r>
              <w:rPr>
                <w:rFonts w:ascii="Arial" w:cs="Arial" w:eastAsia="Arial" w:hAnsi="Arial"/>
                <w:sz w:val="13"/>
                <w:szCs w:val="13"/>
                <w:color w:val="auto"/>
              </w:rPr>
              <w:t>4,102,042</w:t>
            </w: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5,044,599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120" w:type="dxa"/>
            <w:vAlign w:val="bottom"/>
            <w:shd w:val="clear" w:color="auto" w:fill="CCEEFF"/>
          </w:tcPr>
          <w:p>
            <w:pPr>
              <w:spacing w:after="0" w:line="125" w:lineRule="exact"/>
              <w:rPr>
                <w:sz w:val="20"/>
                <w:szCs w:val="20"/>
                <w:color w:val="auto"/>
              </w:rPr>
            </w:pPr>
            <w:r>
              <w:rPr>
                <w:rFonts w:ascii="Arial" w:cs="Arial" w:eastAsia="Arial" w:hAnsi="Arial"/>
                <w:sz w:val="10"/>
                <w:szCs w:val="10"/>
                <w:color w:val="auto"/>
              </w:rPr>
              <w:t xml:space="preserve">Jost Fischer </w:t>
            </w:r>
            <w:r>
              <w:rPr>
                <w:rFonts w:ascii="Arial" w:cs="Arial" w:eastAsia="Arial" w:hAnsi="Arial"/>
                <w:sz w:val="14"/>
                <w:szCs w:val="14"/>
                <w:color w:val="auto"/>
                <w:vertAlign w:val="superscript"/>
              </w:rPr>
              <w:t>(3)</w:t>
            </w: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Former Interim President and Chief Executive Officer</w:t>
            </w:r>
          </w:p>
        </w:tc>
        <w:tc>
          <w:tcPr>
            <w:tcW w:w="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2025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150,000</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237,500</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312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rPr>
              <w:t>Chad Oh</w:t>
            </w: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Chief Medical Officer</w:t>
            </w:r>
          </w:p>
        </w:tc>
        <w:tc>
          <w:tcPr>
            <w:tcW w:w="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2025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425,000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316,767</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640,000</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1,381,767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200"/>
              <w:spacing w:after="0" w:line="138" w:lineRule="exact"/>
              <w:rPr>
                <w:sz w:val="20"/>
                <w:szCs w:val="20"/>
                <w:color w:val="auto"/>
              </w:rPr>
            </w:pPr>
            <w:r>
              <w:rPr>
                <w:rFonts w:ascii="Arial" w:cs="Arial" w:eastAsia="Arial" w:hAnsi="Arial"/>
                <w:sz w:val="13"/>
                <w:szCs w:val="13"/>
                <w:color w:val="auto"/>
              </w:rPr>
              <w:t>2024</w:t>
            </w: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425,000</w:t>
            </w: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line="138" w:lineRule="exact"/>
              <w:rPr>
                <w:sz w:val="20"/>
                <w:szCs w:val="20"/>
                <w:color w:val="auto"/>
              </w:rPr>
            </w:pPr>
            <w:r>
              <w:rPr>
                <w:rFonts w:ascii="Arial" w:cs="Arial" w:eastAsia="Arial" w:hAnsi="Arial"/>
                <w:sz w:val="13"/>
                <w:szCs w:val="13"/>
                <w:color w:val="auto"/>
              </w:rPr>
              <w:t>42,500</w:t>
            </w:r>
          </w:p>
        </w:tc>
        <w:tc>
          <w:tcPr>
            <w:tcW w:w="860" w:type="dxa"/>
            <w:vAlign w:val="bottom"/>
          </w:tcPr>
          <w:p>
            <w:pPr>
              <w:jc w:val="right"/>
              <w:ind w:right="17"/>
              <w:spacing w:after="0" w:line="138" w:lineRule="exact"/>
              <w:rPr>
                <w:sz w:val="20"/>
                <w:szCs w:val="20"/>
                <w:color w:val="auto"/>
              </w:rPr>
            </w:pPr>
            <w:r>
              <w:rPr>
                <w:rFonts w:ascii="Arial" w:cs="Arial" w:eastAsia="Arial" w:hAnsi="Arial"/>
                <w:sz w:val="13"/>
                <w:szCs w:val="13"/>
                <w:color w:val="auto"/>
              </w:rPr>
              <w:t>160,226</w:t>
            </w:r>
          </w:p>
        </w:tc>
        <w:tc>
          <w:tcPr>
            <w:tcW w:w="940" w:type="dxa"/>
            <w:vAlign w:val="bottom"/>
          </w:tcPr>
          <w:p>
            <w:pPr>
              <w:jc w:val="right"/>
              <w:ind w:right="77"/>
              <w:spacing w:after="0" w:line="138" w:lineRule="exact"/>
              <w:rPr>
                <w:sz w:val="20"/>
                <w:szCs w:val="20"/>
                <w:color w:val="auto"/>
              </w:rPr>
            </w:pPr>
            <w:r>
              <w:rPr>
                <w:rFonts w:ascii="Arial" w:cs="Arial" w:eastAsia="Arial" w:hAnsi="Arial"/>
                <w:sz w:val="13"/>
                <w:szCs w:val="13"/>
                <w:color w:val="auto"/>
              </w:rPr>
              <w:t>1,674,287</w:t>
            </w: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2,302,013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12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rPr>
              <w:t>Alex Wilson</w:t>
            </w: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Chief Legal &amp; Strategy Officer; Corporate Secretary</w:t>
            </w:r>
          </w:p>
        </w:tc>
        <w:tc>
          <w:tcPr>
            <w:tcW w:w="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2025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325,333</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640,000</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1,365,333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auto"/>
              </w:rPr>
              <w:t>2024</w:t>
            </w:r>
          </w:p>
        </w:tc>
        <w:tc>
          <w:tcPr>
            <w:tcW w:w="700" w:type="dxa"/>
            <w:vAlign w:val="bottom"/>
          </w:tcPr>
          <w:p>
            <w:pPr>
              <w:jc w:val="right"/>
              <w:spacing w:after="0"/>
              <w:rPr>
                <w:sz w:val="20"/>
                <w:szCs w:val="20"/>
                <w:color w:val="auto"/>
              </w:rPr>
            </w:pPr>
            <w:r>
              <w:rPr>
                <w:rFonts w:ascii="Arial" w:cs="Arial" w:eastAsia="Arial" w:hAnsi="Arial"/>
                <w:sz w:val="13"/>
                <w:szCs w:val="13"/>
                <w:color w:val="auto"/>
              </w:rPr>
              <w:t>400,000</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24,000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150,212</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1,569,644</w:t>
            </w:r>
          </w:p>
        </w:tc>
        <w:tc>
          <w:tcPr>
            <w:tcW w:w="800" w:type="dxa"/>
            <w:vAlign w:val="bottom"/>
          </w:tcPr>
          <w:p>
            <w:pPr>
              <w:jc w:val="right"/>
              <w:spacing w:after="0"/>
              <w:rPr>
                <w:sz w:val="20"/>
                <w:szCs w:val="20"/>
                <w:color w:val="auto"/>
              </w:rPr>
            </w:pPr>
            <w:r>
              <w:rPr>
                <w:rFonts w:ascii="Arial" w:cs="Arial" w:eastAsia="Arial" w:hAnsi="Arial"/>
                <w:sz w:val="13"/>
                <w:szCs w:val="13"/>
                <w:color w:val="auto"/>
              </w:rPr>
              <w:t>2,143,856</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00" w:right="219" w:firstLine="3"/>
        <w:spacing w:after="0" w:line="262" w:lineRule="auto"/>
        <w:tabs>
          <w:tab w:leader="none" w:pos="48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Bonus column includes the 2025 bonus amounts described under “Salary and incentive compensation” below.</w:t>
      </w:r>
    </w:p>
    <w:p>
      <w:pPr>
        <w:spacing w:after="0" w:line="49" w:lineRule="exact"/>
        <w:rPr>
          <w:rFonts w:ascii="Arial" w:cs="Arial" w:eastAsia="Arial" w:hAnsi="Arial"/>
          <w:sz w:val="17"/>
          <w:szCs w:val="17"/>
          <w:color w:val="auto"/>
        </w:rPr>
      </w:pPr>
    </w:p>
    <w:p>
      <w:pPr>
        <w:jc w:val="both"/>
        <w:ind w:left="200" w:right="219" w:firstLine="3"/>
        <w:spacing w:after="0" w:line="246" w:lineRule="auto"/>
        <w:tabs>
          <w:tab w:leader="none" w:pos="467"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Stock and option amounts are ASC Topic 718 grant-date fair values rather than compensation realized by the individual. The valuation assumptions appear in Note 10, Share-based Compensation—Stock Incentive Plans, to the financial statements in our Annual Report on Form 10-K for the year ended December 31, 2025.</w:t>
      </w:r>
    </w:p>
    <w:p>
      <w:pPr>
        <w:spacing w:after="0" w:line="62" w:lineRule="exact"/>
        <w:rPr>
          <w:rFonts w:ascii="Arial" w:cs="Arial" w:eastAsia="Arial" w:hAnsi="Arial"/>
          <w:sz w:val="17"/>
          <w:szCs w:val="17"/>
          <w:color w:val="auto"/>
        </w:rPr>
      </w:pPr>
    </w:p>
    <w:p>
      <w:pPr>
        <w:jc w:val="both"/>
        <w:ind w:left="200" w:right="219" w:firstLine="3"/>
        <w:spacing w:after="0" w:line="241" w:lineRule="auto"/>
        <w:tabs>
          <w:tab w:leader="none" w:pos="4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Mr. Fischer served as Interim President, Chief Executive Officer and principal executive officer from April 4, 2025 until Mr. Bancroft’s appointment on April 29, 2025. Mr. Fischer received stock and option awards for nonemployee director service consistent with the Company’s Director Compensation Program. Mr. Fischer received no incremental compensation for interim executive service; his Board compensation is reported here.</w:t>
      </w:r>
    </w:p>
    <w:p>
      <w:pPr>
        <w:spacing w:after="0" w:line="66" w:lineRule="exact"/>
        <w:rPr>
          <w:rFonts w:ascii="Arial" w:cs="Arial" w:eastAsia="Arial" w:hAnsi="Arial"/>
          <w:sz w:val="17"/>
          <w:szCs w:val="17"/>
          <w:color w:val="auto"/>
        </w:rPr>
      </w:pPr>
    </w:p>
    <w:p>
      <w:pPr>
        <w:jc w:val="both"/>
        <w:ind w:left="200" w:right="219" w:firstLine="3"/>
        <w:spacing w:after="0" w:line="261"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Director column represents the compensation for nonemployee directors. Mr. Forth’s director fees were prorated for Board service after his resignation as CEO, effective April 4, 2025. Mr. Fischer received compensation for nonemployee director service consistent with the Company’s Director Compensation Program. Mr. Fischer received no incremental compensation for interim executive service; his Board compensation is reported here.</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Narrative to summary compensation table and material arrangements</w:t>
      </w:r>
    </w:p>
    <w:p>
      <w:pPr>
        <w:spacing w:after="0" w:line="93" w:lineRule="exact"/>
        <w:rPr>
          <w:sz w:val="20"/>
          <w:szCs w:val="20"/>
          <w:color w:val="auto"/>
        </w:rPr>
      </w:pPr>
    </w:p>
    <w:p>
      <w:pPr>
        <w:ind w:left="200" w:right="219"/>
        <w:spacing w:after="0" w:line="262" w:lineRule="auto"/>
        <w:rPr>
          <w:sz w:val="20"/>
          <w:szCs w:val="20"/>
          <w:color w:val="auto"/>
        </w:rPr>
      </w:pPr>
      <w:r>
        <w:rPr>
          <w:rFonts w:ascii="Arial" w:cs="Arial" w:eastAsia="Arial" w:hAnsi="Arial"/>
          <w:sz w:val="17"/>
          <w:szCs w:val="17"/>
          <w:i w:val="1"/>
          <w:iCs w:val="1"/>
          <w:color w:val="auto"/>
        </w:rPr>
        <w:t>Salary and incentive compensation</w:t>
      </w:r>
      <w:r>
        <w:rPr>
          <w:rFonts w:ascii="Arial" w:cs="Arial" w:eastAsia="Arial" w:hAnsi="Arial"/>
          <w:sz w:val="17"/>
          <w:szCs w:val="17"/>
          <w:color w:val="auto"/>
        </w:rPr>
        <w:t>. The 2025 annual salary rates were $425,000 for Mr. Bancroft, $550,000 for Mr.</w:t>
      </w:r>
      <w:r>
        <w:rPr>
          <w:rFonts w:ascii="Arial" w:cs="Arial" w:eastAsia="Arial" w:hAnsi="Arial"/>
          <w:sz w:val="17"/>
          <w:szCs w:val="17"/>
          <w:i w:val="1"/>
          <w:iCs w:val="1"/>
          <w:color w:val="auto"/>
        </w:rPr>
        <w:t xml:space="preserve"> </w:t>
      </w:r>
      <w:r>
        <w:rPr>
          <w:rFonts w:ascii="Arial" w:cs="Arial" w:eastAsia="Arial" w:hAnsi="Arial"/>
          <w:sz w:val="17"/>
          <w:szCs w:val="17"/>
          <w:color w:val="auto"/>
        </w:rPr>
        <w:t>Forth, $425,000 for Dr. Oh and $400,000 for Mr. Wilson. Mr. Forth’s CEO service ended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4" w:name="page25"/>
    <w:bookmarkEnd w:id="24"/>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April 4, 2025 and Mr. Bancroft’s began on April 29, 2025, so the table reports their actual service-period salaries.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Mr. Fischer received no salary for interim executive service.</w:t>
      </w:r>
    </w:p>
    <w:p>
      <w:pPr>
        <w:spacing w:after="0" w:line="77"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Board determines annual cash incentives based on its assessment of individual contributions and corporate development, operating, financing, budget and product-development or regulatory milestones. The 2025 annual targets were 50% of salary for Mr. Bancroft and 40% for each of Dr. Oh and Mr. Wilson. Messrs. Forth and Fischer received no 2025 annual bonus. Actual reported bonus amounts appear in the table.</w:t>
      </w:r>
    </w:p>
    <w:p>
      <w:pPr>
        <w:spacing w:after="0" w:line="67"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Board also approved a one-time retention program equal to 50% of base salary, vesting on the first anniversary subject to continued employment. The amounts attributable to 2025 for Dr. Oh and Mr. Wilson were $141,667 and $133,333, respectively; those bonuses vested in April 2026.</w:t>
      </w:r>
    </w:p>
    <w:p>
      <w:pPr>
        <w:spacing w:after="0" w:line="6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i w:val="1"/>
          <w:iCs w:val="1"/>
          <w:color w:val="auto"/>
        </w:rPr>
        <w:t>Equity compensation</w:t>
      </w:r>
      <w:r>
        <w:rPr>
          <w:rFonts w:ascii="Arial" w:cs="Arial" w:eastAsia="Arial" w:hAnsi="Arial"/>
          <w:sz w:val="17"/>
          <w:szCs w:val="17"/>
          <w:color w:val="auto"/>
        </w:rPr>
        <w:t>. In 2025, Mr. Bancroft received 177,103 RSUs and 59,034 options under the 2025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Inducement Incentive Award Plan (the “Inducement Plan”). Dr. Oh and Mr. Wilson each received 1,316,872 cash-settled RSUs under the Plan (referred to in the compensation and equity compensation plan disclosures as the “2023 Plan”). These awards vest 25% annually over four years, subject to continued service. In March 2026, the Board changed the identified cash-settled awards to share settlement upon vesting, retaining their other terms. Our named executive officers received no other equity awards for executive service in 2025.</w:t>
      </w:r>
    </w:p>
    <w:p>
      <w:pPr>
        <w:spacing w:after="0" w:line="69"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i w:val="1"/>
          <w:iCs w:val="1"/>
          <w:color w:val="auto"/>
        </w:rPr>
        <w:t>Other benefits</w:t>
      </w:r>
      <w:r>
        <w:rPr>
          <w:rFonts w:ascii="Arial" w:cs="Arial" w:eastAsia="Arial" w:hAnsi="Arial"/>
          <w:sz w:val="17"/>
          <w:szCs w:val="17"/>
          <w:color w:val="auto"/>
        </w:rPr>
        <w:t>. Eligible executives participate in our employee 401(k), health, dental, vision, disability and life-insurance arrangements on generally the same terms as other eligible employees. The Company does not make matching 401(k) contributions or gross up executives’ personal income taxes.</w:t>
      </w:r>
    </w:p>
    <w:p>
      <w:pPr>
        <w:spacing w:after="0" w:line="6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i w:val="1"/>
          <w:iCs w:val="1"/>
          <w:color w:val="auto"/>
        </w:rPr>
        <w:t>Employment, termination and change-in-control arrangements</w:t>
      </w:r>
      <w:r>
        <w:rPr>
          <w:rFonts w:ascii="Arial" w:cs="Arial" w:eastAsia="Arial" w:hAnsi="Arial"/>
          <w:sz w:val="17"/>
          <w:szCs w:val="17"/>
          <w:color w:val="auto"/>
        </w:rPr>
        <w:t>. The following summarizes the material terms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agreements with our named executive officers. Qualifying severance benefits require a timely signed and unrevoked release and continued compliance with applicable restrictive covenants. Each described agreement provides for the better after-tax outcome between full parachute payments and a reduction that avoids the Section 4999 excise tax. The related confidentiality and inventions agreements include customary restrictions and a two-year post-employment non-solicitation covenant.</w:t>
      </w:r>
    </w:p>
    <w:p>
      <w:pPr>
        <w:spacing w:after="0" w:line="69"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Mr. Forth’s amended agreement, effective at the July 21, 2023 business combination, provided a $550,000 annual salary and a 100%-of-salary target annual bonus. Before his April 4, 2025 resignation, termination without cause or resignation for good reason would have provided 12 months of salary continuation, a prorated target bonus and 12 months of Company-paid group-health continuation, subject to the agreement’s conditions. This description does not imply that Mr. Forth remains an employee or that those payments became payable on resignation.</w:t>
      </w:r>
    </w:p>
    <w:p>
      <w:pPr>
        <w:spacing w:after="0" w:line="70"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Mr. Bancroft’s agreement became effective April 29, 2025 and provides a $425,000 annual salary and 50% target bonus. An employer termination other than for cause, death or disability, or a good-reason resignation, provides six months of salary continuation, 50% of the target bonus for that year and six months of Company-paid health continuation. A without-cause termination or good-reason resignation within two months before or six months after a change in control instead provides 12 months of salary, 100% of the target bonus and 12 months of health continuation. If termination occurs on or within six months after the change in control, the salary severance is paid in a lump sum within 60 days. Effective February 17, 2026, Mr. Bancroft’s annual base salary was increased to $475,000.</w:t>
      </w:r>
    </w:p>
    <w:p>
      <w:pPr>
        <w:spacing w:after="0" w:line="72"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6"/>
          <w:szCs w:val="16"/>
          <w:color w:val="auto"/>
        </w:rPr>
        <w:t>Dr. Oh’s and Mr. Wilson’s agreements became effective at the business combination and provide annual salaries of $425,000 and $400,000, respectively, and 40% target bonuses. Qualifying ordinary terminations, excluding cause, death and disability, or good-reason resignations, provide six months of salary, 50% of the target bonus and six months of Company-paid health continuation. Qualifying terminations within two months before or 12 months after a change in control instead provide 12 months of salary, 100% of the target bonus and 12 months of health continuation. Salary severance for a termination on or within 12 months after the change in control is paid in a lump sum within 60 days. Effective February 17, 2026, Mr. Wilson’s annual base salary was increased to $420,000.</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Participation in the Plan does not itself promise a future grant.</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5" w:name="page26"/>
    <w:bookmarkEnd w:id="25"/>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table reports awards outstanding at December 31, 2025. Unvested-unit market values use the December 31, 2025 closing price of $1.10. The historical grant and vesting dates are shown separately; they do not represent a new 2026 grant. The indicated earnout units retain their disclosed performance conditions.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Unvested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93"/>
              </w:rPr>
              <w:t>Unearned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33"/>
        </w:trPr>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3"/>
                <w:szCs w:val="13"/>
                <w:b w:val="1"/>
                <w:bCs w:val="1"/>
                <w:color w:val="auto"/>
              </w:rPr>
              <w:t>Vesting</w:t>
            </w:r>
          </w:p>
        </w:tc>
        <w:tc>
          <w:tcPr>
            <w:tcW w:w="1020" w:type="dxa"/>
            <w:vAlign w:val="bottom"/>
          </w:tcPr>
          <w:p>
            <w:pPr>
              <w:jc w:val="right"/>
              <w:ind w:right="197"/>
              <w:spacing w:after="0" w:line="133" w:lineRule="exact"/>
              <w:rPr>
                <w:sz w:val="20"/>
                <w:szCs w:val="20"/>
                <w:color w:val="auto"/>
              </w:rPr>
            </w:pPr>
            <w:r>
              <w:rPr>
                <w:rFonts w:ascii="Arial" w:cs="Arial" w:eastAsia="Arial" w:hAnsi="Arial"/>
                <w:sz w:val="13"/>
                <w:szCs w:val="13"/>
                <w:b w:val="1"/>
                <w:bCs w:val="1"/>
                <w:color w:val="auto"/>
              </w:rPr>
              <w:t>Options</w:t>
            </w:r>
          </w:p>
        </w:tc>
        <w:tc>
          <w:tcPr>
            <w:tcW w:w="900" w:type="dxa"/>
            <w:vAlign w:val="bottom"/>
          </w:tcPr>
          <w:p>
            <w:pPr>
              <w:jc w:val="right"/>
              <w:ind w:right="37"/>
              <w:spacing w:after="0" w:line="133" w:lineRule="exact"/>
              <w:rPr>
                <w:sz w:val="20"/>
                <w:szCs w:val="20"/>
                <w:color w:val="auto"/>
              </w:rPr>
            </w:pPr>
            <w:r>
              <w:rPr>
                <w:rFonts w:ascii="Arial" w:cs="Arial" w:eastAsia="Arial" w:hAnsi="Arial"/>
                <w:sz w:val="13"/>
                <w:szCs w:val="13"/>
                <w:b w:val="1"/>
                <w:bCs w:val="1"/>
                <w:color w:val="auto"/>
              </w:rPr>
              <w:t>Options not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Exercise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ind w:right="77"/>
              <w:spacing w:after="0" w:line="133" w:lineRule="exact"/>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1"/>
                <w:szCs w:val="11"/>
                <w:color w:val="auto"/>
              </w:rPr>
            </w:pPr>
          </w:p>
        </w:tc>
        <w:tc>
          <w:tcPr>
            <w:tcW w:w="680" w:type="dxa"/>
            <w:vAlign w:val="bottom"/>
          </w:tcPr>
          <w:p>
            <w:pPr>
              <w:jc w:val="right"/>
              <w:ind w:right="77"/>
              <w:spacing w:after="0" w:line="133" w:lineRule="exact"/>
              <w:rPr>
                <w:sz w:val="20"/>
                <w:szCs w:val="20"/>
                <w:color w:val="auto"/>
              </w:rPr>
            </w:pPr>
            <w:r>
              <w:rPr>
                <w:rFonts w:ascii="Arial" w:cs="Arial" w:eastAsia="Arial" w:hAnsi="Arial"/>
                <w:sz w:val="13"/>
                <w:szCs w:val="13"/>
                <w:b w:val="1"/>
                <w:bCs w:val="1"/>
                <w:color w:val="auto"/>
              </w:rPr>
              <w:t>stock /</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ind w:right="37"/>
              <w:spacing w:after="0" w:line="133" w:lineRule="exact"/>
              <w:rPr>
                <w:sz w:val="20"/>
                <w:szCs w:val="20"/>
                <w:color w:val="auto"/>
              </w:rPr>
            </w:pPr>
            <w:r>
              <w:rPr>
                <w:rFonts w:ascii="Arial" w:cs="Arial" w:eastAsia="Arial" w:hAnsi="Arial"/>
                <w:sz w:val="13"/>
                <w:szCs w:val="13"/>
                <w:b w:val="1"/>
                <w:bCs w:val="1"/>
                <w:color w:val="auto"/>
              </w:rPr>
              <w:t>stock /</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Market</w:t>
            </w:r>
          </w:p>
        </w:tc>
      </w:tr>
      <w:tr>
        <w:trPr>
          <w:trHeight w:val="156"/>
        </w:trPr>
        <w:tc>
          <w:tcPr>
            <w:tcW w:w="9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780" w:type="dxa"/>
            <w:vAlign w:val="bottom"/>
          </w:tcPr>
          <w:p>
            <w:pPr>
              <w:ind w:left="60"/>
              <w:spacing w:after="0"/>
              <w:rPr>
                <w:sz w:val="20"/>
                <w:szCs w:val="20"/>
                <w:color w:val="auto"/>
              </w:rPr>
            </w:pPr>
            <w:r>
              <w:rPr>
                <w:rFonts w:ascii="Arial" w:cs="Arial" w:eastAsia="Arial" w:hAnsi="Arial"/>
                <w:sz w:val="13"/>
                <w:szCs w:val="13"/>
                <w:b w:val="1"/>
                <w:bCs w:val="1"/>
                <w:color w:val="auto"/>
              </w:rPr>
              <w:t>Grant date</w:t>
            </w:r>
          </w:p>
        </w:tc>
        <w:tc>
          <w:tcPr>
            <w:tcW w:w="820" w:type="dxa"/>
            <w:vAlign w:val="bottom"/>
          </w:tcPr>
          <w:p>
            <w:pPr>
              <w:ind w:left="260"/>
              <w:spacing w:after="0"/>
              <w:rPr>
                <w:sz w:val="20"/>
                <w:szCs w:val="20"/>
                <w:color w:val="auto"/>
              </w:rPr>
            </w:pPr>
            <w:r>
              <w:rPr>
                <w:rFonts w:ascii="Arial" w:cs="Arial" w:eastAsia="Arial" w:hAnsi="Arial"/>
                <w:sz w:val="13"/>
                <w:szCs w:val="13"/>
                <w:b w:val="1"/>
                <w:bCs w:val="1"/>
                <w:color w:val="auto"/>
              </w:rPr>
              <w:t>start</w:t>
            </w:r>
          </w:p>
        </w:tc>
        <w:tc>
          <w:tcPr>
            <w:tcW w:w="1020" w:type="dxa"/>
            <w:vAlign w:val="bottom"/>
          </w:tcPr>
          <w:p>
            <w:pPr>
              <w:jc w:val="right"/>
              <w:ind w:right="37"/>
              <w:spacing w:after="0"/>
              <w:rPr>
                <w:sz w:val="20"/>
                <w:szCs w:val="20"/>
                <w:color w:val="auto"/>
              </w:rPr>
            </w:pPr>
            <w:r>
              <w:rPr>
                <w:rFonts w:ascii="Arial" w:cs="Arial" w:eastAsia="Arial" w:hAnsi="Arial"/>
                <w:sz w:val="13"/>
                <w:szCs w:val="13"/>
                <w:b w:val="1"/>
                <w:bCs w:val="1"/>
                <w:color w:val="auto"/>
              </w:rPr>
              <w:t>exercisable #</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exercisable #</w:t>
            </w:r>
          </w:p>
        </w:tc>
        <w:tc>
          <w:tcPr>
            <w:tcW w:w="40" w:type="dxa"/>
            <w:vAlign w:val="bottom"/>
          </w:tcPr>
          <w:p>
            <w:pPr>
              <w:spacing w:after="0"/>
              <w:rPr>
                <w:sz w:val="13"/>
                <w:szCs w:val="13"/>
                <w:color w:val="auto"/>
              </w:rPr>
            </w:pPr>
          </w:p>
        </w:tc>
        <w:tc>
          <w:tcPr>
            <w:tcW w:w="16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rPr>
              <w:t>price $</w:t>
            </w:r>
          </w:p>
        </w:tc>
        <w:tc>
          <w:tcPr>
            <w:tcW w:w="20" w:type="dxa"/>
            <w:vAlign w:val="bottom"/>
          </w:tcPr>
          <w:p>
            <w:pPr>
              <w:spacing w:after="0"/>
              <w:rPr>
                <w:sz w:val="13"/>
                <w:szCs w:val="13"/>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expiry</w:t>
            </w:r>
          </w:p>
        </w:tc>
        <w:tc>
          <w:tcPr>
            <w:tcW w:w="76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  units #</w:t>
            </w:r>
          </w:p>
        </w:tc>
        <w:tc>
          <w:tcPr>
            <w:tcW w:w="20" w:type="dxa"/>
            <w:vAlign w:val="bottom"/>
          </w:tcPr>
          <w:p>
            <w:pPr>
              <w:spacing w:after="0"/>
              <w:rPr>
                <w:sz w:val="13"/>
                <w:szCs w:val="13"/>
                <w:color w:val="auto"/>
              </w:rPr>
            </w:pPr>
          </w:p>
        </w:tc>
        <w:tc>
          <w:tcPr>
            <w:tcW w:w="20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b w:val="1"/>
                <w:bCs w:val="1"/>
                <w:color w:val="auto"/>
              </w:rPr>
              <w:t>units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20"/>
              <w:spacing w:after="0" w:line="156" w:lineRule="exact"/>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8"/>
                <w:szCs w:val="18"/>
                <w:b w:val="1"/>
                <w:bCs w:val="1"/>
                <w:color w:val="auto"/>
                <w:vertAlign w:val="superscript"/>
              </w:rPr>
              <w:t>(1)</w:t>
            </w:r>
          </w:p>
        </w:tc>
      </w:tr>
      <w:tr>
        <w:trPr>
          <w:trHeight w:val="130"/>
        </w:trPr>
        <w:tc>
          <w:tcPr>
            <w:tcW w:w="94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Robert Bancroft</w:t>
            </w:r>
          </w:p>
        </w:tc>
        <w:tc>
          <w:tcPr>
            <w:tcW w:w="78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4/29/2025</w:t>
            </w:r>
          </w:p>
        </w:tc>
        <w:tc>
          <w:tcPr>
            <w:tcW w:w="8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4/29/2025</w:t>
            </w:r>
          </w:p>
        </w:tc>
        <w:tc>
          <w:tcPr>
            <w:tcW w:w="10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59,034</w:t>
            </w: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2"/>
              </w:rPr>
              <w:t>(2)</w:t>
            </w:r>
          </w:p>
        </w:tc>
        <w:tc>
          <w:tcPr>
            <w:tcW w:w="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0.41</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0"/>
              </w:rPr>
              <w:t>(4)</w:t>
            </w:r>
          </w:p>
        </w:tc>
        <w:tc>
          <w:tcPr>
            <w:tcW w:w="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3"/>
              </w:rPr>
              <w:t>4/28/2035</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5/14/2025</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4/29/2025</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177,103</w:t>
            </w:r>
          </w:p>
        </w:tc>
        <w:tc>
          <w:tcPr>
            <w:tcW w:w="200" w:type="dxa"/>
            <w:vAlign w:val="bottom"/>
            <w:gridSpan w:val="2"/>
          </w:tcPr>
          <w:p>
            <w:pPr>
              <w:jc w:val="right"/>
              <w:ind w:right="17"/>
              <w:spacing w:after="0"/>
              <w:rPr>
                <w:sz w:val="20"/>
                <w:szCs w:val="20"/>
                <w:color w:val="auto"/>
              </w:rPr>
            </w:pPr>
            <w:r>
              <w:rPr>
                <w:rFonts w:ascii="Arial" w:cs="Arial" w:eastAsia="Arial" w:hAnsi="Arial"/>
                <w:sz w:val="9"/>
                <w:szCs w:val="9"/>
                <w:color w:val="auto"/>
                <w:w w:val="90"/>
              </w:rPr>
              <w:t>(6)</w:t>
            </w: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194,813</w:t>
            </w:r>
          </w:p>
        </w:tc>
      </w:tr>
      <w:tr>
        <w:trPr>
          <w:trHeight w:val="138"/>
        </w:trPr>
        <w:tc>
          <w:tcPr>
            <w:tcW w:w="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Marc Forth</w:t>
            </w: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11/20/2019</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6/11/2019</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13,481</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11/19/2029</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8"/>
              </w:rPr>
              <w:t>8/5/2020</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4"/>
              </w:rPr>
              <w:t>7/1/2020</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4,501</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(3)</w:t>
            </w:r>
          </w:p>
        </w:tc>
        <w:tc>
          <w:tcPr>
            <w:tcW w:w="2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8"/>
              </w:rPr>
              <w:t>8/4/2030</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9/9/2021</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3/5/2021</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4,047</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9/8/2031</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8"/>
              </w:rPr>
              <w:t>3/9/2022</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3,974</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1,325</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(2)</w:t>
            </w: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(3)</w:t>
            </w:r>
          </w:p>
        </w:tc>
        <w:tc>
          <w:tcPr>
            <w:tcW w:w="2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8"/>
              </w:rPr>
              <w:t>3/8/2032</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3/9/2022</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2,023</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3/8/2032</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1,944</w:t>
            </w:r>
          </w:p>
        </w:tc>
        <w:tc>
          <w:tcPr>
            <w:tcW w:w="200" w:type="dxa"/>
            <w:vAlign w:val="bottom"/>
            <w:gridSpan w:val="2"/>
          </w:tcPr>
          <w:p>
            <w:pPr>
              <w:jc w:val="right"/>
              <w:ind w:right="17"/>
              <w:spacing w:after="0"/>
              <w:rPr>
                <w:sz w:val="20"/>
                <w:szCs w:val="20"/>
                <w:color w:val="auto"/>
              </w:rPr>
            </w:pPr>
            <w:r>
              <w:rPr>
                <w:rFonts w:ascii="Arial" w:cs="Arial" w:eastAsia="Arial" w:hAnsi="Arial"/>
                <w:sz w:val="9"/>
                <w:szCs w:val="9"/>
                <w:color w:val="auto"/>
                <w:w w:val="90"/>
              </w:rPr>
              <w:t>(6)</w:t>
            </w: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2,138</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738</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1,036.80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3/18/2034</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15,508</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1,938</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(5)</w:t>
            </w: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59.76</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(4)</w:t>
            </w:r>
          </w:p>
        </w:tc>
        <w:tc>
          <w:tcPr>
            <w:tcW w:w="2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3"/>
              </w:rPr>
              <w:t>8/30/2034</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6,538</w:t>
            </w: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w w:val="90"/>
              </w:rPr>
              <w:t>(7)</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7,192</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370,370</w:t>
            </w:r>
          </w:p>
        </w:tc>
        <w:tc>
          <w:tcPr>
            <w:tcW w:w="200" w:type="dxa"/>
            <w:vAlign w:val="bottom"/>
            <w:gridSpan w:val="2"/>
          </w:tcPr>
          <w:p>
            <w:pPr>
              <w:jc w:val="right"/>
              <w:ind w:right="17"/>
              <w:spacing w:after="0"/>
              <w:rPr>
                <w:sz w:val="20"/>
                <w:szCs w:val="20"/>
                <w:color w:val="auto"/>
              </w:rPr>
            </w:pPr>
            <w:r>
              <w:rPr>
                <w:rFonts w:ascii="Arial" w:cs="Arial" w:eastAsia="Arial" w:hAnsi="Arial"/>
                <w:sz w:val="9"/>
                <w:szCs w:val="9"/>
                <w:color w:val="auto"/>
                <w:w w:val="90"/>
              </w:rPr>
              <w:t>(8)</w:t>
            </w: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407,407</w:t>
            </w:r>
          </w:p>
        </w:tc>
      </w:tr>
      <w:tr>
        <w:trPr>
          <w:trHeight w:val="138"/>
        </w:trPr>
        <w:tc>
          <w:tcPr>
            <w:tcW w:w="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Jost Fischer</w:t>
            </w: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8/5/2020</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3/4/2020</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306</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8/5/2030</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8"/>
              </w:rPr>
              <w:t>3/5/2021</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4"/>
              </w:rPr>
              <w:t>3/5/2021</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275</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(3)</w:t>
            </w:r>
          </w:p>
        </w:tc>
        <w:tc>
          <w:tcPr>
            <w:tcW w:w="2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8"/>
              </w:rPr>
              <w:t>3/5/2031</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3/9/2022</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295</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3/9/2032</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63"/>
        </w:trPr>
        <w:tc>
          <w:tcPr>
            <w:tcW w:w="9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4/26/2023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4/26/2023</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458</w:t>
            </w:r>
          </w:p>
        </w:tc>
        <w:tc>
          <w:tcPr>
            <w:tcW w:w="180" w:type="dxa"/>
            <w:vAlign w:val="bottom"/>
            <w:gridSpan w:val="2"/>
          </w:tcPr>
          <w:p>
            <w:pPr>
              <w:jc w:val="right"/>
              <w:spacing w:after="0"/>
              <w:rPr>
                <w:sz w:val="20"/>
                <w:szCs w:val="20"/>
                <w:color w:val="auto"/>
              </w:rPr>
            </w:pPr>
            <w:r>
              <w:rPr>
                <w:rFonts w:ascii="Arial" w:cs="Arial" w:eastAsia="Arial" w:hAnsi="Arial"/>
                <w:sz w:val="9"/>
                <w:szCs w:val="9"/>
                <w:color w:val="auto"/>
                <w:w w:val="99"/>
              </w:rPr>
              <w:t>(10)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504</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8/14/2023</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8/14/2023</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545</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393.84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8/13/2033</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75</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151</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(9)</w:t>
            </w: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1,036.80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(4)</w:t>
            </w:r>
          </w:p>
        </w:tc>
        <w:tc>
          <w:tcPr>
            <w:tcW w:w="2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3"/>
              </w:rPr>
              <w:t>3/18/2034</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1,188</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59.76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8/30/2034</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501</w:t>
            </w:r>
          </w:p>
        </w:tc>
        <w:tc>
          <w:tcPr>
            <w:tcW w:w="200" w:type="dxa"/>
            <w:vAlign w:val="bottom"/>
            <w:gridSpan w:val="2"/>
          </w:tcPr>
          <w:p>
            <w:pPr>
              <w:jc w:val="right"/>
              <w:ind w:right="17"/>
              <w:spacing w:after="0"/>
              <w:rPr>
                <w:sz w:val="20"/>
                <w:szCs w:val="20"/>
                <w:color w:val="auto"/>
              </w:rPr>
            </w:pPr>
            <w:r>
              <w:rPr>
                <w:rFonts w:ascii="Arial" w:cs="Arial" w:eastAsia="Arial" w:hAnsi="Arial"/>
                <w:sz w:val="9"/>
                <w:szCs w:val="9"/>
                <w:color w:val="auto"/>
                <w:w w:val="90"/>
              </w:rPr>
              <w:t>(7)</w:t>
            </w: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551</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308,641</w:t>
            </w: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w w:val="90"/>
              </w:rPr>
              <w:t>(8)</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339,505</w:t>
            </w:r>
          </w:p>
        </w:tc>
      </w:tr>
      <w:tr>
        <w:trPr>
          <w:trHeight w:val="138"/>
        </w:trPr>
        <w:tc>
          <w:tcPr>
            <w:tcW w:w="940" w:type="dxa"/>
            <w:vAlign w:val="bottom"/>
          </w:tcPr>
          <w:p>
            <w:pPr>
              <w:spacing w:after="0" w:line="138" w:lineRule="exact"/>
              <w:rPr>
                <w:sz w:val="20"/>
                <w:szCs w:val="20"/>
                <w:color w:val="auto"/>
              </w:rPr>
            </w:pPr>
            <w:r>
              <w:rPr>
                <w:rFonts w:ascii="Arial" w:cs="Arial" w:eastAsia="Arial" w:hAnsi="Arial"/>
                <w:sz w:val="13"/>
                <w:szCs w:val="13"/>
                <w:color w:val="auto"/>
              </w:rPr>
              <w:t>Chad Oh</w:t>
            </w: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8/23/2021</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5/31/2021</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2,023</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(3)</w:t>
            </w:r>
          </w:p>
        </w:tc>
        <w:tc>
          <w:tcPr>
            <w:tcW w:w="2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3"/>
              </w:rPr>
              <w:t>8/23/2031</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3/9/2022</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1,200</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3/8/2032</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698</w:t>
            </w:r>
          </w:p>
        </w:tc>
        <w:tc>
          <w:tcPr>
            <w:tcW w:w="200" w:type="dxa"/>
            <w:vAlign w:val="bottom"/>
            <w:gridSpan w:val="2"/>
          </w:tcPr>
          <w:p>
            <w:pPr>
              <w:jc w:val="right"/>
              <w:ind w:right="17"/>
              <w:spacing w:after="0"/>
              <w:rPr>
                <w:sz w:val="20"/>
                <w:szCs w:val="20"/>
                <w:color w:val="auto"/>
              </w:rPr>
            </w:pPr>
            <w:r>
              <w:rPr>
                <w:rFonts w:ascii="Arial" w:cs="Arial" w:eastAsia="Arial" w:hAnsi="Arial"/>
                <w:sz w:val="9"/>
                <w:szCs w:val="9"/>
                <w:color w:val="auto"/>
                <w:w w:val="90"/>
              </w:rPr>
              <w:t>(6)</w:t>
            </w: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768</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301</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1,036.80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3/18/2034</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6,330</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791</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(5)</w:t>
            </w: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59.76</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(4)</w:t>
            </w:r>
          </w:p>
        </w:tc>
        <w:tc>
          <w:tcPr>
            <w:tcW w:w="2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3"/>
              </w:rPr>
              <w:t>8/30/2034</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2,669</w:t>
            </w: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w w:val="90"/>
              </w:rPr>
              <w:t>(7)</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2,936</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1,316,872</w:t>
            </w:r>
          </w:p>
        </w:tc>
        <w:tc>
          <w:tcPr>
            <w:tcW w:w="200" w:type="dxa"/>
            <w:vAlign w:val="bottom"/>
            <w:gridSpan w:val="2"/>
          </w:tcPr>
          <w:p>
            <w:pPr>
              <w:jc w:val="right"/>
              <w:ind w:right="17"/>
              <w:spacing w:after="0"/>
              <w:rPr>
                <w:sz w:val="20"/>
                <w:szCs w:val="20"/>
                <w:color w:val="auto"/>
              </w:rPr>
            </w:pPr>
            <w:r>
              <w:rPr>
                <w:rFonts w:ascii="Arial" w:cs="Arial" w:eastAsia="Arial" w:hAnsi="Arial"/>
                <w:sz w:val="9"/>
                <w:szCs w:val="9"/>
                <w:color w:val="auto"/>
                <w:w w:val="90"/>
              </w:rPr>
              <w:t>(8)</w:t>
            </w: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1,448,559</w:t>
            </w:r>
          </w:p>
        </w:tc>
      </w:tr>
      <w:tr>
        <w:trPr>
          <w:trHeight w:val="138"/>
        </w:trPr>
        <w:tc>
          <w:tcPr>
            <w:tcW w:w="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Alex Wilson</w:t>
            </w: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8/23/2021</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8/9/2021</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1,079</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8/23/2031</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5"/>
              </w:rPr>
              <w:t>10/20/2021</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8"/>
              </w:rPr>
              <w:t>10/20/2021</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176</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(3)</w:t>
            </w:r>
          </w:p>
        </w:tc>
        <w:tc>
          <w:tcPr>
            <w:tcW w:w="2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10/19/2031</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3/9/2022</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1,111</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3/8/2032</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566</w:t>
            </w:r>
          </w:p>
        </w:tc>
        <w:tc>
          <w:tcPr>
            <w:tcW w:w="200" w:type="dxa"/>
            <w:vAlign w:val="bottom"/>
            <w:gridSpan w:val="2"/>
          </w:tcPr>
          <w:p>
            <w:pPr>
              <w:jc w:val="right"/>
              <w:ind w:right="17"/>
              <w:spacing w:after="0"/>
              <w:rPr>
                <w:sz w:val="20"/>
                <w:szCs w:val="20"/>
                <w:color w:val="auto"/>
              </w:rPr>
            </w:pPr>
            <w:r>
              <w:rPr>
                <w:rFonts w:ascii="Arial" w:cs="Arial" w:eastAsia="Arial" w:hAnsi="Arial"/>
                <w:sz w:val="9"/>
                <w:szCs w:val="9"/>
                <w:color w:val="auto"/>
                <w:w w:val="90"/>
              </w:rPr>
              <w:t>(6)</w:t>
            </w: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623</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283</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1,036.80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3/18/2034</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5,934</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742</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(5)</w:t>
            </w: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59.76</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(4)</w:t>
            </w:r>
          </w:p>
        </w:tc>
        <w:tc>
          <w:tcPr>
            <w:tcW w:w="2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3"/>
              </w:rPr>
              <w:t>8/30/2034</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2,502</w:t>
            </w: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w w:val="90"/>
              </w:rPr>
              <w:t>(7)</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2,752</w:t>
            </w:r>
          </w:p>
        </w:tc>
      </w:tr>
      <w:tr>
        <w:trPr>
          <w:trHeight w:val="165"/>
        </w:trPr>
        <w:tc>
          <w:tcPr>
            <w:tcW w:w="9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5/21/2025</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5/21/2025</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1,316,872</w:t>
            </w:r>
          </w:p>
        </w:tc>
        <w:tc>
          <w:tcPr>
            <w:tcW w:w="200" w:type="dxa"/>
            <w:vAlign w:val="bottom"/>
            <w:gridSpan w:val="2"/>
          </w:tcPr>
          <w:p>
            <w:pPr>
              <w:jc w:val="right"/>
              <w:ind w:right="17"/>
              <w:spacing w:after="0"/>
              <w:rPr>
                <w:sz w:val="20"/>
                <w:szCs w:val="20"/>
                <w:color w:val="auto"/>
              </w:rPr>
            </w:pPr>
            <w:r>
              <w:rPr>
                <w:rFonts w:ascii="Arial" w:cs="Arial" w:eastAsia="Arial" w:hAnsi="Arial"/>
                <w:sz w:val="9"/>
                <w:szCs w:val="9"/>
                <w:color w:val="auto"/>
                <w:w w:val="90"/>
              </w:rPr>
              <w:t>(8)</w:t>
            </w: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1,448,559</w:t>
            </w:r>
          </w:p>
        </w:tc>
      </w:tr>
    </w:tbl>
    <w:p>
      <w:pPr>
        <w:spacing w:after="0" w:line="156" w:lineRule="exact"/>
        <w:rPr>
          <w:sz w:val="20"/>
          <w:szCs w:val="20"/>
          <w:color w:val="auto"/>
        </w:rPr>
      </w:pPr>
    </w:p>
    <w:p>
      <w:pPr>
        <w:ind w:left="460" w:hanging="257"/>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Unvested-unit market values use $1.10 per share, the December 31, 2025 closing price.</w:t>
      </w:r>
    </w:p>
    <w:p>
      <w:pPr>
        <w:spacing w:after="0" w:line="92" w:lineRule="exact"/>
        <w:rPr>
          <w:rFonts w:ascii="Arial" w:cs="Arial" w:eastAsia="Arial" w:hAnsi="Arial"/>
          <w:sz w:val="17"/>
          <w:szCs w:val="17"/>
          <w:color w:val="auto"/>
        </w:rPr>
      </w:pPr>
    </w:p>
    <w:p>
      <w:pPr>
        <w:ind w:left="200" w:right="219" w:firstLine="3"/>
        <w:spacing w:after="0" w:line="262" w:lineRule="auto"/>
        <w:tabs>
          <w:tab w:leader="none" w:pos="4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Indicated options vest 25% on each of the first four anniversaries of the vesting commencement date, subject to continued service.</w:t>
      </w:r>
    </w:p>
    <w:p>
      <w:pPr>
        <w:spacing w:after="0" w:line="49" w:lineRule="exact"/>
        <w:rPr>
          <w:rFonts w:ascii="Arial" w:cs="Arial" w:eastAsia="Arial" w:hAnsi="Arial"/>
          <w:sz w:val="17"/>
          <w:szCs w:val="17"/>
          <w:color w:val="auto"/>
        </w:rPr>
      </w:pPr>
    </w:p>
    <w:p>
      <w:pPr>
        <w:ind w:left="200" w:right="219" w:firstLine="3"/>
        <w:spacing w:after="0" w:line="262" w:lineRule="auto"/>
        <w:tabs>
          <w:tab w:leader="none" w:pos="47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Indicated $720.00 prices reflect repricing at the Subsidiary Merger, business-combination conversion and the February 26, 2025 reverse split.</w:t>
      </w:r>
    </w:p>
    <w:p>
      <w:pPr>
        <w:spacing w:after="0" w:line="49" w:lineRule="exact"/>
        <w:rPr>
          <w:rFonts w:ascii="Arial" w:cs="Arial" w:eastAsia="Arial" w:hAnsi="Arial"/>
          <w:sz w:val="17"/>
          <w:szCs w:val="17"/>
          <w:color w:val="auto"/>
        </w:rPr>
      </w:pPr>
    </w:p>
    <w:p>
      <w:pPr>
        <w:ind w:left="200" w:right="219" w:firstLine="3"/>
        <w:spacing w:after="0" w:line="262" w:lineRule="auto"/>
        <w:tabs>
          <w:tab w:leader="none" w:pos="4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indicated option prices reflect grant-date fair market value and applicable adjustments for the February 26, 2025 reverse split.</w:t>
      </w:r>
    </w:p>
    <w:p>
      <w:pPr>
        <w:spacing w:after="0" w:line="49" w:lineRule="exact"/>
        <w:rPr>
          <w:rFonts w:ascii="Arial" w:cs="Arial" w:eastAsia="Arial" w:hAnsi="Arial"/>
          <w:sz w:val="17"/>
          <w:szCs w:val="17"/>
          <w:color w:val="auto"/>
        </w:rPr>
      </w:pPr>
    </w:p>
    <w:p>
      <w:pPr>
        <w:ind w:left="200" w:right="219" w:firstLine="3"/>
        <w:spacing w:after="0" w:line="262" w:lineRule="auto"/>
        <w:tabs>
          <w:tab w:leader="none" w:pos="4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Indicated options vest in equal monthly installments over 18 months following vesting commencement, subject to continued service.</w:t>
      </w:r>
    </w:p>
    <w:p>
      <w:pPr>
        <w:spacing w:after="0" w:line="49" w:lineRule="exact"/>
        <w:rPr>
          <w:rFonts w:ascii="Arial" w:cs="Arial" w:eastAsia="Arial" w:hAnsi="Arial"/>
          <w:sz w:val="17"/>
          <w:szCs w:val="17"/>
          <w:color w:val="auto"/>
        </w:rPr>
      </w:pPr>
    </w:p>
    <w:p>
      <w:pPr>
        <w:ind w:left="200" w:right="219" w:firstLine="3"/>
        <w:spacing w:after="0" w:line="262" w:lineRule="auto"/>
        <w:tabs>
          <w:tab w:leader="none" w:pos="4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Indicated RSUs vest 25% on each of the first four anniversaries of vesting commencement, subject to continued service.</w:t>
      </w:r>
    </w:p>
    <w:p>
      <w:pPr>
        <w:spacing w:after="0" w:line="49" w:lineRule="exact"/>
        <w:rPr>
          <w:rFonts w:ascii="Arial" w:cs="Arial" w:eastAsia="Arial" w:hAnsi="Arial"/>
          <w:sz w:val="17"/>
          <w:szCs w:val="17"/>
          <w:color w:val="auto"/>
        </w:rPr>
      </w:pPr>
    </w:p>
    <w:p>
      <w:pPr>
        <w:ind w:left="460" w:hanging="257"/>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Indicated RSUs vest in full on the second anniversary of vesting commencement, subject to continued service.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6" w:name="page27"/>
    <w:bookmarkEnd w:id="26"/>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right="219" w:firstLine="3"/>
        <w:spacing w:after="0" w:line="262" w:lineRule="auto"/>
        <w:tabs>
          <w:tab w:leader="none" w:pos="4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These were cash-settled RSUs with 25% annual vesting over four years. In March 2026, the Board approved conversion to share-settled RSUs under the 2023 Plan with otherwise unchanged terms.</w:t>
      </w:r>
    </w:p>
    <w:p>
      <w:pPr>
        <w:spacing w:after="0" w:line="49" w:lineRule="exact"/>
        <w:rPr>
          <w:rFonts w:ascii="Arial" w:cs="Arial" w:eastAsia="Arial" w:hAnsi="Arial"/>
          <w:sz w:val="17"/>
          <w:szCs w:val="17"/>
          <w:color w:val="auto"/>
        </w:rPr>
      </w:pPr>
    </w:p>
    <w:p>
      <w:pPr>
        <w:ind w:left="200" w:right="219" w:firstLine="3"/>
        <w:spacing w:after="0" w:line="262" w:lineRule="auto"/>
        <w:tabs>
          <w:tab w:leader="none" w:pos="4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Indicated options vest 33.3% on each of the first three anniversaries of vesting commencement, subject to continued service.</w:t>
      </w:r>
    </w:p>
    <w:p>
      <w:pPr>
        <w:spacing w:after="0" w:line="49" w:lineRule="exact"/>
        <w:rPr>
          <w:rFonts w:ascii="Arial" w:cs="Arial" w:eastAsia="Arial" w:hAnsi="Arial"/>
          <w:sz w:val="17"/>
          <w:szCs w:val="17"/>
          <w:color w:val="auto"/>
        </w:rPr>
      </w:pPr>
    </w:p>
    <w:p>
      <w:pPr>
        <w:jc w:val="both"/>
        <w:ind w:left="200" w:right="219" w:firstLine="3"/>
        <w:spacing w:after="0" w:line="241" w:lineRule="auto"/>
        <w:tabs>
          <w:tab w:leader="none" w:pos="56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458 earnout RSUs comprise 122 units conditioned on FDA acceptance for review of a cervical-dystonia BLA by November 30, 2026; 122 conditioned on an episodic-migraine BLA by June 30, 2029; and 214 conditioned on a chronic-migraine BLA by June 30, 2028, with continued service also required. These are historical award conditions, not predictions of regulatory outcomes.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Director compensation</w:t>
      </w:r>
    </w:p>
    <w:p>
      <w:pPr>
        <w:spacing w:after="0" w:line="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following table reports 2025 compensation for nonemployee directors, except for Mr. Forth and Mr. Fischer who are reported on the Summary Compensation table above. Mr. Bancroft received no additional compensation for employee-director service.</w:t>
      </w:r>
    </w:p>
    <w:p>
      <w:pPr>
        <w:spacing w:after="0" w:line="59"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20" w:type="dxa"/>
            <w:vAlign w:val="bottom"/>
          </w:tcPr>
          <w:p>
            <w:pPr>
              <w:jc w:val="center"/>
              <w:ind w:left="42"/>
              <w:spacing w:after="0"/>
              <w:rPr>
                <w:sz w:val="20"/>
                <w:szCs w:val="20"/>
                <w:color w:val="auto"/>
              </w:rPr>
            </w:pPr>
            <w:r>
              <w:rPr>
                <w:rFonts w:ascii="Arial" w:cs="Arial" w:eastAsia="Arial" w:hAnsi="Arial"/>
                <w:sz w:val="17"/>
                <w:szCs w:val="17"/>
                <w:b w:val="1"/>
                <w:bCs w:val="1"/>
                <w:color w:val="auto"/>
                <w:w w:val="98"/>
              </w:rPr>
              <w:t>Stock awards</w:t>
            </w:r>
          </w:p>
        </w:tc>
        <w:tc>
          <w:tcPr>
            <w:tcW w:w="1220" w:type="dxa"/>
            <w:vAlign w:val="bottom"/>
          </w:tcPr>
          <w:p>
            <w:pPr>
              <w:jc w:val="center"/>
              <w:ind w:right="117"/>
              <w:spacing w:after="0"/>
              <w:rPr>
                <w:sz w:val="20"/>
                <w:szCs w:val="20"/>
                <w:color w:val="auto"/>
              </w:rPr>
            </w:pPr>
            <w:r>
              <w:rPr>
                <w:rFonts w:ascii="Arial" w:cs="Arial" w:eastAsia="Arial" w:hAnsi="Arial"/>
                <w:sz w:val="17"/>
                <w:szCs w:val="17"/>
                <w:b w:val="1"/>
                <w:bCs w:val="1"/>
                <w:color w:val="auto"/>
                <w:w w:val="98"/>
              </w:rPr>
              <w:t>Option</w:t>
            </w:r>
          </w:p>
        </w:tc>
        <w:tc>
          <w:tcPr>
            <w:tcW w:w="1260" w:type="dxa"/>
            <w:vAlign w:val="bottom"/>
          </w:tcPr>
          <w:p>
            <w:pPr>
              <w:spacing w:after="0"/>
              <w:rPr>
                <w:sz w:val="16"/>
                <w:szCs w:val="16"/>
                <w:color w:val="auto"/>
              </w:rPr>
            </w:pPr>
          </w:p>
        </w:tc>
      </w:tr>
      <w:tr>
        <w:trPr>
          <w:trHeight w:val="213"/>
        </w:trPr>
        <w:tc>
          <w:tcPr>
            <w:tcW w:w="2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Director</w:t>
            </w:r>
          </w:p>
        </w:tc>
        <w:tc>
          <w:tcPr>
            <w:tcW w:w="2300" w:type="dxa"/>
            <w:vAlign w:val="bottom"/>
            <w:tcBorders>
              <w:bottom w:val="single" w:sz="8" w:color="auto"/>
            </w:tcBorders>
          </w:tcPr>
          <w:p>
            <w:pPr>
              <w:ind w:left="1160"/>
              <w:spacing w:after="0"/>
              <w:rPr>
                <w:sz w:val="20"/>
                <w:szCs w:val="20"/>
                <w:color w:val="auto"/>
              </w:rPr>
            </w:pPr>
            <w:r>
              <w:rPr>
                <w:rFonts w:ascii="Arial" w:cs="Arial" w:eastAsia="Arial" w:hAnsi="Arial"/>
                <w:sz w:val="17"/>
                <w:szCs w:val="17"/>
                <w:b w:val="1"/>
                <w:bCs w:val="1"/>
                <w:color w:val="auto"/>
              </w:rPr>
              <w:t>Cash fees $</w:t>
            </w:r>
          </w:p>
        </w:tc>
        <w:tc>
          <w:tcPr>
            <w:tcW w:w="1320" w:type="dxa"/>
            <w:vAlign w:val="bottom"/>
            <w:tcBorders>
              <w:bottom w:val="single" w:sz="8" w:color="auto"/>
            </w:tcBorders>
          </w:tcPr>
          <w:p>
            <w:pPr>
              <w:jc w:val="center"/>
              <w:ind w:right="362"/>
              <w:spacing w:after="0" w:line="213"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 xml:space="preserve"> (1)</w:t>
            </w:r>
          </w:p>
        </w:tc>
        <w:tc>
          <w:tcPr>
            <w:tcW w:w="1220" w:type="dxa"/>
            <w:vAlign w:val="bottom"/>
            <w:tcBorders>
              <w:bottom w:val="single" w:sz="8" w:color="auto"/>
            </w:tcBorders>
          </w:tcPr>
          <w:p>
            <w:pPr>
              <w:jc w:val="center"/>
              <w:ind w:right="117"/>
              <w:spacing w:after="0" w:line="213" w:lineRule="exact"/>
              <w:rPr>
                <w:sz w:val="20"/>
                <w:szCs w:val="20"/>
                <w:color w:val="auto"/>
              </w:rPr>
            </w:pPr>
            <w:r>
              <w:rPr>
                <w:rFonts w:ascii="Arial" w:cs="Arial" w:eastAsia="Arial" w:hAnsi="Arial"/>
                <w:sz w:val="16"/>
                <w:szCs w:val="16"/>
                <w:b w:val="1"/>
                <w:bCs w:val="1"/>
                <w:color w:val="auto"/>
                <w:w w:val="97"/>
              </w:rPr>
              <w:t xml:space="preserve">awards $ </w:t>
            </w:r>
            <w:r>
              <w:rPr>
                <w:rFonts w:ascii="Arial" w:cs="Arial" w:eastAsia="Arial" w:hAnsi="Arial"/>
                <w:sz w:val="24"/>
                <w:szCs w:val="24"/>
                <w:b w:val="1"/>
                <w:bCs w:val="1"/>
                <w:color w:val="auto"/>
                <w:w w:val="97"/>
                <w:vertAlign w:val="superscript"/>
              </w:rPr>
              <w:t>(1)</w:t>
            </w: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Total $</w:t>
            </w:r>
          </w:p>
        </w:tc>
      </w:tr>
      <w:tr>
        <w:trPr>
          <w:trHeight w:val="180"/>
        </w:trPr>
        <w:tc>
          <w:tcPr>
            <w:tcW w:w="25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Eric Carter</w:t>
            </w:r>
          </w:p>
        </w:tc>
        <w:tc>
          <w:tcPr>
            <w:tcW w:w="2300" w:type="dxa"/>
            <w:vAlign w:val="bottom"/>
            <w:shd w:val="clear" w:color="auto" w:fill="CCEEFF"/>
          </w:tcPr>
          <w:p>
            <w:pPr>
              <w:jc w:val="center"/>
              <w:ind w:left="917"/>
              <w:spacing w:after="0" w:line="180" w:lineRule="exact"/>
              <w:rPr>
                <w:sz w:val="20"/>
                <w:szCs w:val="20"/>
                <w:color w:val="auto"/>
              </w:rPr>
            </w:pPr>
            <w:r>
              <w:rPr>
                <w:rFonts w:ascii="Arial" w:cs="Arial" w:eastAsia="Arial" w:hAnsi="Arial"/>
                <w:sz w:val="17"/>
                <w:szCs w:val="17"/>
                <w:color w:val="auto"/>
                <w:w w:val="96"/>
              </w:rPr>
              <w:t>57,500</w:t>
            </w:r>
          </w:p>
        </w:tc>
        <w:tc>
          <w:tcPr>
            <w:tcW w:w="1320" w:type="dxa"/>
            <w:vAlign w:val="bottom"/>
            <w:shd w:val="clear" w:color="auto" w:fill="CCEEFF"/>
          </w:tcPr>
          <w:p>
            <w:pPr>
              <w:jc w:val="center"/>
              <w:ind w:left="102"/>
              <w:spacing w:after="0" w:line="180" w:lineRule="exact"/>
              <w:rPr>
                <w:sz w:val="20"/>
                <w:szCs w:val="20"/>
                <w:color w:val="auto"/>
              </w:rPr>
            </w:pPr>
            <w:r>
              <w:rPr>
                <w:rFonts w:ascii="Arial" w:cs="Arial" w:eastAsia="Arial" w:hAnsi="Arial"/>
                <w:sz w:val="17"/>
                <w:szCs w:val="17"/>
                <w:color w:val="auto"/>
              </w:rPr>
              <w:t>150,000</w:t>
            </w:r>
          </w:p>
        </w:tc>
        <w:tc>
          <w:tcPr>
            <w:tcW w:w="1220" w:type="dxa"/>
            <w:vAlign w:val="bottom"/>
            <w:shd w:val="clear" w:color="auto" w:fill="CCEEFF"/>
          </w:tcPr>
          <w:p>
            <w:pPr>
              <w:jc w:val="center"/>
              <w:ind w:right="77"/>
              <w:spacing w:after="0" w:line="180"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center"/>
              <w:ind w:right="58"/>
              <w:spacing w:after="0" w:line="180" w:lineRule="exact"/>
              <w:rPr>
                <w:sz w:val="20"/>
                <w:szCs w:val="20"/>
                <w:color w:val="auto"/>
              </w:rPr>
            </w:pPr>
            <w:r>
              <w:rPr>
                <w:rFonts w:ascii="Arial" w:cs="Arial" w:eastAsia="Arial" w:hAnsi="Arial"/>
                <w:sz w:val="17"/>
                <w:szCs w:val="17"/>
                <w:color w:val="auto"/>
                <w:w w:val="97"/>
              </w:rPr>
              <w:t>207,500</w:t>
            </w:r>
          </w:p>
        </w:tc>
      </w:tr>
      <w:tr>
        <w:trPr>
          <w:trHeight w:val="188"/>
        </w:trPr>
        <w:tc>
          <w:tcPr>
            <w:tcW w:w="2500" w:type="dxa"/>
            <w:vAlign w:val="bottom"/>
          </w:tcPr>
          <w:p>
            <w:pPr>
              <w:spacing w:after="0" w:line="188" w:lineRule="exact"/>
              <w:rPr>
                <w:sz w:val="20"/>
                <w:szCs w:val="20"/>
                <w:color w:val="auto"/>
              </w:rPr>
            </w:pPr>
            <w:r>
              <w:rPr>
                <w:rFonts w:ascii="Arial" w:cs="Arial" w:eastAsia="Arial" w:hAnsi="Arial"/>
                <w:sz w:val="17"/>
                <w:szCs w:val="17"/>
                <w:color w:val="auto"/>
              </w:rPr>
              <w:t>Robert Palmisano</w:t>
            </w:r>
          </w:p>
        </w:tc>
        <w:tc>
          <w:tcPr>
            <w:tcW w:w="2300" w:type="dxa"/>
            <w:vAlign w:val="bottom"/>
          </w:tcPr>
          <w:p>
            <w:pPr>
              <w:jc w:val="center"/>
              <w:ind w:left="917"/>
              <w:spacing w:after="0" w:line="188" w:lineRule="exact"/>
              <w:rPr>
                <w:sz w:val="20"/>
                <w:szCs w:val="20"/>
                <w:color w:val="auto"/>
              </w:rPr>
            </w:pPr>
            <w:r>
              <w:rPr>
                <w:rFonts w:ascii="Arial" w:cs="Arial" w:eastAsia="Arial" w:hAnsi="Arial"/>
                <w:sz w:val="17"/>
                <w:szCs w:val="17"/>
                <w:color w:val="auto"/>
                <w:w w:val="96"/>
              </w:rPr>
              <w:t>57,500</w:t>
            </w:r>
          </w:p>
        </w:tc>
        <w:tc>
          <w:tcPr>
            <w:tcW w:w="1320" w:type="dxa"/>
            <w:vAlign w:val="bottom"/>
          </w:tcPr>
          <w:p>
            <w:pPr>
              <w:jc w:val="center"/>
              <w:ind w:left="102"/>
              <w:spacing w:after="0" w:line="188" w:lineRule="exact"/>
              <w:rPr>
                <w:sz w:val="20"/>
                <w:szCs w:val="20"/>
                <w:color w:val="auto"/>
              </w:rPr>
            </w:pPr>
            <w:r>
              <w:rPr>
                <w:rFonts w:ascii="Arial" w:cs="Arial" w:eastAsia="Arial" w:hAnsi="Arial"/>
                <w:sz w:val="17"/>
                <w:szCs w:val="17"/>
                <w:color w:val="auto"/>
              </w:rPr>
              <w:t>150,000</w:t>
            </w:r>
          </w:p>
        </w:tc>
        <w:tc>
          <w:tcPr>
            <w:tcW w:w="1220" w:type="dxa"/>
            <w:vAlign w:val="bottom"/>
          </w:tcPr>
          <w:p>
            <w:pPr>
              <w:jc w:val="center"/>
              <w:ind w:right="77"/>
              <w:spacing w:after="0" w:line="188" w:lineRule="exact"/>
              <w:rPr>
                <w:sz w:val="20"/>
                <w:szCs w:val="20"/>
                <w:color w:val="auto"/>
              </w:rPr>
            </w:pPr>
            <w:r>
              <w:rPr>
                <w:rFonts w:ascii="Arial" w:cs="Arial" w:eastAsia="Arial" w:hAnsi="Arial"/>
                <w:sz w:val="17"/>
                <w:szCs w:val="17"/>
                <w:color w:val="auto"/>
              </w:rPr>
              <w:t>-</w:t>
            </w:r>
          </w:p>
        </w:tc>
        <w:tc>
          <w:tcPr>
            <w:tcW w:w="1260" w:type="dxa"/>
            <w:vAlign w:val="bottom"/>
          </w:tcPr>
          <w:p>
            <w:pPr>
              <w:jc w:val="center"/>
              <w:ind w:right="58"/>
              <w:spacing w:after="0" w:line="188" w:lineRule="exact"/>
              <w:rPr>
                <w:sz w:val="20"/>
                <w:szCs w:val="20"/>
                <w:color w:val="auto"/>
              </w:rPr>
            </w:pPr>
            <w:r>
              <w:rPr>
                <w:rFonts w:ascii="Arial" w:cs="Arial" w:eastAsia="Arial" w:hAnsi="Arial"/>
                <w:sz w:val="17"/>
                <w:szCs w:val="17"/>
                <w:color w:val="auto"/>
                <w:w w:val="97"/>
              </w:rPr>
              <w:t>207,500</w:t>
            </w:r>
          </w:p>
        </w:tc>
      </w:tr>
      <w:tr>
        <w:trPr>
          <w:trHeight w:val="188"/>
        </w:trPr>
        <w:tc>
          <w:tcPr>
            <w:tcW w:w="25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Shelley Thunen</w:t>
            </w:r>
          </w:p>
        </w:tc>
        <w:tc>
          <w:tcPr>
            <w:tcW w:w="2300" w:type="dxa"/>
            <w:vAlign w:val="bottom"/>
            <w:shd w:val="clear" w:color="auto" w:fill="CCEEFF"/>
          </w:tcPr>
          <w:p>
            <w:pPr>
              <w:jc w:val="center"/>
              <w:ind w:left="917"/>
              <w:spacing w:after="0" w:line="188" w:lineRule="exact"/>
              <w:rPr>
                <w:sz w:val="20"/>
                <w:szCs w:val="20"/>
                <w:color w:val="auto"/>
              </w:rPr>
            </w:pPr>
            <w:r>
              <w:rPr>
                <w:rFonts w:ascii="Arial" w:cs="Arial" w:eastAsia="Arial" w:hAnsi="Arial"/>
                <w:sz w:val="17"/>
                <w:szCs w:val="17"/>
                <w:color w:val="auto"/>
                <w:w w:val="96"/>
              </w:rPr>
              <w:t>62,500</w:t>
            </w:r>
          </w:p>
        </w:tc>
        <w:tc>
          <w:tcPr>
            <w:tcW w:w="1320" w:type="dxa"/>
            <w:vAlign w:val="bottom"/>
            <w:shd w:val="clear" w:color="auto" w:fill="CCEEFF"/>
          </w:tcPr>
          <w:p>
            <w:pPr>
              <w:jc w:val="center"/>
              <w:ind w:left="102"/>
              <w:spacing w:after="0" w:line="188" w:lineRule="exact"/>
              <w:rPr>
                <w:sz w:val="20"/>
                <w:szCs w:val="20"/>
                <w:color w:val="auto"/>
              </w:rPr>
            </w:pPr>
            <w:r>
              <w:rPr>
                <w:rFonts w:ascii="Arial" w:cs="Arial" w:eastAsia="Arial" w:hAnsi="Arial"/>
                <w:sz w:val="17"/>
                <w:szCs w:val="17"/>
                <w:color w:val="auto"/>
              </w:rPr>
              <w:t>150,000</w:t>
            </w:r>
          </w:p>
        </w:tc>
        <w:tc>
          <w:tcPr>
            <w:tcW w:w="1220" w:type="dxa"/>
            <w:vAlign w:val="bottom"/>
            <w:shd w:val="clear" w:color="auto" w:fill="CCEEFF"/>
          </w:tcPr>
          <w:p>
            <w:pPr>
              <w:jc w:val="center"/>
              <w:ind w:right="77"/>
              <w:spacing w:after="0" w:line="188"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center"/>
              <w:ind w:right="58"/>
              <w:spacing w:after="0" w:line="188" w:lineRule="exact"/>
              <w:rPr>
                <w:sz w:val="20"/>
                <w:szCs w:val="20"/>
                <w:color w:val="auto"/>
              </w:rPr>
            </w:pPr>
            <w:r>
              <w:rPr>
                <w:rFonts w:ascii="Arial" w:cs="Arial" w:eastAsia="Arial" w:hAnsi="Arial"/>
                <w:sz w:val="17"/>
                <w:szCs w:val="17"/>
                <w:color w:val="auto"/>
                <w:w w:val="97"/>
              </w:rPr>
              <w:t>212,500</w:t>
            </w:r>
          </w:p>
        </w:tc>
      </w:tr>
      <w:tr>
        <w:trPr>
          <w:trHeight w:val="335"/>
        </w:trPr>
        <w:tc>
          <w:tcPr>
            <w:tcW w:w="2500" w:type="dxa"/>
            <w:vAlign w:val="bottom"/>
          </w:tcPr>
          <w:p>
            <w:pPr>
              <w:spacing w:after="0"/>
              <w:rPr>
                <w:sz w:val="20"/>
                <w:szCs w:val="20"/>
                <w:color w:val="auto"/>
              </w:rPr>
            </w:pPr>
            <w:r>
              <w:rPr>
                <w:rFonts w:ascii="Arial" w:cs="Arial" w:eastAsia="Arial" w:hAnsi="Arial"/>
                <w:sz w:val="17"/>
                <w:szCs w:val="17"/>
                <w:color w:val="auto"/>
              </w:rPr>
              <w:t xml:space="preserve">Seongsoo Park </w:t>
            </w:r>
            <w:r>
              <w:rPr>
                <w:rFonts w:ascii="Arial" w:cs="Arial" w:eastAsia="Arial" w:hAnsi="Arial"/>
                <w:sz w:val="25"/>
                <w:szCs w:val="25"/>
                <w:color w:val="auto"/>
                <w:vertAlign w:val="superscript"/>
              </w:rPr>
              <w:t>(2)</w:t>
            </w:r>
          </w:p>
        </w:tc>
        <w:tc>
          <w:tcPr>
            <w:tcW w:w="2300" w:type="dxa"/>
            <w:vAlign w:val="bottom"/>
          </w:tcPr>
          <w:p>
            <w:pPr>
              <w:jc w:val="center"/>
              <w:ind w:left="917"/>
              <w:spacing w:after="0"/>
              <w:rPr>
                <w:sz w:val="20"/>
                <w:szCs w:val="20"/>
                <w:color w:val="auto"/>
              </w:rPr>
            </w:pPr>
            <w:r>
              <w:rPr>
                <w:rFonts w:ascii="Arial" w:cs="Arial" w:eastAsia="Arial" w:hAnsi="Arial"/>
                <w:sz w:val="17"/>
                <w:szCs w:val="17"/>
                <w:color w:val="auto"/>
              </w:rPr>
              <w:t>-</w:t>
            </w:r>
          </w:p>
        </w:tc>
        <w:tc>
          <w:tcPr>
            <w:tcW w:w="1320" w:type="dxa"/>
            <w:vAlign w:val="bottom"/>
          </w:tcPr>
          <w:p>
            <w:pPr>
              <w:jc w:val="center"/>
              <w:ind w:left="102"/>
              <w:spacing w:after="0"/>
              <w:rPr>
                <w:sz w:val="20"/>
                <w:szCs w:val="20"/>
                <w:color w:val="auto"/>
              </w:rPr>
            </w:pPr>
            <w:r>
              <w:rPr>
                <w:rFonts w:ascii="Arial" w:cs="Arial" w:eastAsia="Arial" w:hAnsi="Arial"/>
                <w:sz w:val="17"/>
                <w:szCs w:val="17"/>
                <w:color w:val="auto"/>
              </w:rPr>
              <w:t>-</w:t>
            </w:r>
          </w:p>
        </w:tc>
        <w:tc>
          <w:tcPr>
            <w:tcW w:w="1220" w:type="dxa"/>
            <w:vAlign w:val="bottom"/>
          </w:tcPr>
          <w:p>
            <w:pPr>
              <w:jc w:val="center"/>
              <w:ind w:right="77"/>
              <w:spacing w:after="0"/>
              <w:rPr>
                <w:sz w:val="20"/>
                <w:szCs w:val="20"/>
                <w:color w:val="auto"/>
              </w:rPr>
            </w:pPr>
            <w:r>
              <w:rPr>
                <w:rFonts w:ascii="Arial" w:cs="Arial" w:eastAsia="Arial" w:hAnsi="Arial"/>
                <w:sz w:val="17"/>
                <w:szCs w:val="17"/>
                <w:color w:val="auto"/>
              </w:rPr>
              <w:t>-</w:t>
            </w:r>
          </w:p>
        </w:tc>
        <w:tc>
          <w:tcPr>
            <w:tcW w:w="1260" w:type="dxa"/>
            <w:vAlign w:val="bottom"/>
          </w:tcPr>
          <w:p>
            <w:pPr>
              <w:jc w:val="center"/>
              <w:ind w:right="58"/>
              <w:spacing w:after="0"/>
              <w:rPr>
                <w:sz w:val="20"/>
                <w:szCs w:val="20"/>
                <w:color w:val="auto"/>
              </w:rPr>
            </w:pPr>
            <w:r>
              <w:rPr>
                <w:rFonts w:ascii="Arial" w:cs="Arial" w:eastAsia="Arial" w:hAnsi="Arial"/>
                <w:sz w:val="16"/>
                <w:szCs w:val="16"/>
                <w:color w:val="auto"/>
                <w:w w:val="74"/>
              </w:rPr>
              <w:t>-</w:t>
            </w:r>
          </w:p>
        </w:tc>
      </w:tr>
    </w:tbl>
    <w:p>
      <w:pPr>
        <w:spacing w:after="0" w:line="36" w:lineRule="exact"/>
        <w:rPr>
          <w:sz w:val="20"/>
          <w:szCs w:val="20"/>
          <w:color w:val="auto"/>
        </w:rPr>
      </w:pPr>
    </w:p>
    <w:p>
      <w:pPr>
        <w:jc w:val="both"/>
        <w:ind w:left="200" w:right="219" w:firstLine="3"/>
        <w:spacing w:after="0" w:line="246" w:lineRule="auto"/>
        <w:tabs>
          <w:tab w:leader="none" w:pos="45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Award values are ASC Topic 718 grant-date fair values rather than realized proceeds. The valuation assumptions appear in Note 10, Share-based Compensation—Stock Incentive Plans, to the financial statements in our Annual Report on Form 10-K for the year ended December 31, 2025.</w:t>
      </w:r>
    </w:p>
    <w:p>
      <w:pPr>
        <w:spacing w:after="0" w:line="62" w:lineRule="exact"/>
        <w:rPr>
          <w:rFonts w:ascii="Arial" w:cs="Arial" w:eastAsia="Arial" w:hAnsi="Arial"/>
          <w:sz w:val="17"/>
          <w:szCs w:val="17"/>
          <w:color w:val="auto"/>
        </w:rPr>
      </w:pPr>
    </w:p>
    <w:p>
      <w:pPr>
        <w:ind w:left="460" w:hanging="257"/>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Park, affiliated with Daewoong and appointed April 12, 2024, received no 2025 director compensation.</w:t>
      </w:r>
    </w:p>
    <w:p>
      <w:pPr>
        <w:spacing w:after="0" w:line="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At December 31, 2025, directors held the following unvested RSUs and outstanding options (including both exercisable and unexercisable options):</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gridSpan w:val="4"/>
          </w:tcPr>
          <w:p>
            <w:pPr>
              <w:jc w:val="center"/>
              <w:spacing w:after="0"/>
              <w:rPr>
                <w:sz w:val="20"/>
                <w:szCs w:val="20"/>
                <w:color w:val="auto"/>
              </w:rPr>
            </w:pPr>
            <w:r>
              <w:rPr>
                <w:rFonts w:ascii="Arial" w:cs="Arial" w:eastAsia="Arial" w:hAnsi="Arial"/>
                <w:sz w:val="17"/>
                <w:szCs w:val="17"/>
                <w:b w:val="1"/>
                <w:bCs w:val="1"/>
                <w:color w:val="auto"/>
                <w:w w:val="98"/>
              </w:rPr>
              <w:t>Options Outstanding at</w:t>
            </w: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8"/>
              </w:rPr>
              <w:t>RSUs Unvested at</w:t>
            </w:r>
          </w:p>
        </w:tc>
        <w:tc>
          <w:tcPr>
            <w:tcW w:w="2560" w:type="dxa"/>
            <w:vAlign w:val="bottom"/>
            <w:tcBorders>
              <w:bottom w:val="single" w:sz="8" w:color="auto"/>
            </w:tcBorders>
            <w:gridSpan w:val="3"/>
          </w:tcPr>
          <w:p>
            <w:pPr>
              <w:jc w:val="center"/>
              <w:ind w:left="1237"/>
              <w:spacing w:after="0"/>
              <w:rPr>
                <w:sz w:val="20"/>
                <w:szCs w:val="20"/>
                <w:color w:val="auto"/>
              </w:rPr>
            </w:pPr>
            <w:r>
              <w:rPr>
                <w:rFonts w:ascii="Arial" w:cs="Arial" w:eastAsia="Arial" w:hAnsi="Arial"/>
                <w:sz w:val="17"/>
                <w:szCs w:val="17"/>
                <w:b w:val="1"/>
                <w:bCs w:val="1"/>
                <w:color w:val="auto"/>
                <w:w w:val="97"/>
              </w:rPr>
              <w:t>Fiscal Year End</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42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23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6"/>
              </w:rPr>
              <w:t>Fiscal Year End</w:t>
            </w:r>
          </w:p>
        </w:tc>
        <w:tc>
          <w:tcPr>
            <w:tcW w:w="2560" w:type="dxa"/>
            <w:vAlign w:val="bottom"/>
            <w:gridSpan w:val="3"/>
          </w:tcPr>
          <w:p>
            <w:pPr>
              <w:ind w:left="340"/>
              <w:spacing w:after="0"/>
              <w:rPr>
                <w:sz w:val="20"/>
                <w:szCs w:val="20"/>
                <w:color w:val="auto"/>
              </w:rPr>
            </w:pPr>
            <w:r>
              <w:rPr>
                <w:rFonts w:ascii="Arial" w:cs="Arial" w:eastAsia="Arial" w:hAnsi="Arial"/>
                <w:sz w:val="17"/>
                <w:szCs w:val="17"/>
                <w:b w:val="1"/>
                <w:bCs w:val="1"/>
                <w:color w:val="auto"/>
              </w:rPr>
              <w:t>ABP 2019 Plan</w:t>
            </w:r>
          </w:p>
        </w:tc>
        <w:tc>
          <w:tcPr>
            <w:tcW w:w="1320" w:type="dxa"/>
            <w:vAlign w:val="bottom"/>
          </w:tcPr>
          <w:p>
            <w:pPr>
              <w:spacing w:after="0"/>
              <w:rPr>
                <w:sz w:val="20"/>
                <w:szCs w:val="20"/>
                <w:color w:val="auto"/>
              </w:rPr>
            </w:pPr>
            <w:r>
              <w:rPr>
                <w:rFonts w:ascii="Arial" w:cs="Arial" w:eastAsia="Arial" w:hAnsi="Arial"/>
                <w:sz w:val="17"/>
                <w:szCs w:val="17"/>
                <w:b w:val="1"/>
                <w:bCs w:val="1"/>
                <w:color w:val="auto"/>
              </w:rPr>
              <w:t>2023 Plan</w:t>
            </w:r>
          </w:p>
        </w:tc>
        <w:tc>
          <w:tcPr>
            <w:tcW w:w="0" w:type="dxa"/>
            <w:vAlign w:val="bottom"/>
          </w:tcPr>
          <w:p>
            <w:pPr>
              <w:spacing w:after="0"/>
              <w:rPr>
                <w:sz w:val="1"/>
                <w:szCs w:val="1"/>
                <w:color w:val="auto"/>
              </w:rPr>
            </w:pPr>
          </w:p>
        </w:tc>
      </w:tr>
      <w:tr>
        <w:trPr>
          <w:trHeight w:val="180"/>
        </w:trPr>
        <w:tc>
          <w:tcPr>
            <w:tcW w:w="22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Eric Carter</w:t>
            </w:r>
          </w:p>
        </w:tc>
        <w:tc>
          <w:tcPr>
            <w:tcW w:w="14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97"/>
              </w:rPr>
              <w:t>309,142</w:t>
            </w:r>
          </w:p>
        </w:tc>
        <w:tc>
          <w:tcPr>
            <w:tcW w:w="16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98"/>
              </w:rPr>
              <w:t>290</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ind w:right="437"/>
              <w:spacing w:after="0" w:line="180" w:lineRule="exact"/>
              <w:rPr>
                <w:sz w:val="20"/>
                <w:szCs w:val="20"/>
                <w:color w:val="auto"/>
              </w:rPr>
            </w:pPr>
            <w:r>
              <w:rPr>
                <w:rFonts w:ascii="Arial" w:cs="Arial" w:eastAsia="Arial" w:hAnsi="Arial"/>
                <w:sz w:val="17"/>
                <w:szCs w:val="17"/>
                <w:color w:val="auto"/>
                <w:w w:val="93"/>
              </w:rPr>
              <w:t>2,494</w:t>
            </w:r>
          </w:p>
        </w:tc>
        <w:tc>
          <w:tcPr>
            <w:tcW w:w="0" w:type="dxa"/>
            <w:vAlign w:val="bottom"/>
          </w:tcPr>
          <w:p>
            <w:pPr>
              <w:spacing w:after="0"/>
              <w:rPr>
                <w:sz w:val="1"/>
                <w:szCs w:val="1"/>
                <w:color w:val="auto"/>
              </w:rPr>
            </w:pPr>
          </w:p>
        </w:tc>
      </w:tr>
      <w:tr>
        <w:trPr>
          <w:trHeight w:val="188"/>
        </w:trPr>
        <w:tc>
          <w:tcPr>
            <w:tcW w:w="2420" w:type="dxa"/>
            <w:vAlign w:val="bottom"/>
            <w:gridSpan w:val="2"/>
          </w:tcPr>
          <w:p>
            <w:pPr>
              <w:spacing w:after="0" w:line="188" w:lineRule="exact"/>
              <w:rPr>
                <w:sz w:val="20"/>
                <w:szCs w:val="20"/>
                <w:color w:val="auto"/>
              </w:rPr>
            </w:pPr>
            <w:r>
              <w:rPr>
                <w:rFonts w:ascii="Arial" w:cs="Arial" w:eastAsia="Arial" w:hAnsi="Arial"/>
                <w:sz w:val="17"/>
                <w:szCs w:val="17"/>
                <w:color w:val="auto"/>
              </w:rPr>
              <w:t>Jost Fischer</w:t>
            </w:r>
          </w:p>
        </w:tc>
        <w:tc>
          <w:tcPr>
            <w:tcW w:w="2140" w:type="dxa"/>
            <w:vAlign w:val="bottom"/>
          </w:tcPr>
          <w:p>
            <w:pPr>
              <w:jc w:val="center"/>
              <w:spacing w:after="0" w:line="188" w:lineRule="exact"/>
              <w:rPr>
                <w:sz w:val="20"/>
                <w:szCs w:val="20"/>
                <w:color w:val="auto"/>
              </w:rPr>
            </w:pPr>
            <w:r>
              <w:rPr>
                <w:rFonts w:ascii="Arial" w:cs="Arial" w:eastAsia="Arial" w:hAnsi="Arial"/>
                <w:sz w:val="17"/>
                <w:szCs w:val="17"/>
                <w:color w:val="auto"/>
                <w:w w:val="97"/>
              </w:rPr>
              <w:t>309,600</w:t>
            </w:r>
          </w:p>
        </w:tc>
        <w:tc>
          <w:tcPr>
            <w:tcW w:w="160" w:type="dxa"/>
            <w:vAlign w:val="bottom"/>
          </w:tcPr>
          <w:p>
            <w:pPr>
              <w:spacing w:after="0"/>
              <w:rPr>
                <w:sz w:val="16"/>
                <w:szCs w:val="16"/>
                <w:color w:val="auto"/>
              </w:rPr>
            </w:pPr>
          </w:p>
        </w:tc>
        <w:tc>
          <w:tcPr>
            <w:tcW w:w="1860" w:type="dxa"/>
            <w:vAlign w:val="bottom"/>
          </w:tcPr>
          <w:p>
            <w:pPr>
              <w:jc w:val="center"/>
              <w:spacing w:after="0" w:line="188" w:lineRule="exact"/>
              <w:rPr>
                <w:sz w:val="20"/>
                <w:szCs w:val="20"/>
                <w:color w:val="auto"/>
              </w:rPr>
            </w:pPr>
            <w:r>
              <w:rPr>
                <w:rFonts w:ascii="Arial" w:cs="Arial" w:eastAsia="Arial" w:hAnsi="Arial"/>
                <w:sz w:val="17"/>
                <w:szCs w:val="17"/>
                <w:color w:val="auto"/>
                <w:w w:val="98"/>
              </w:rPr>
              <w:t>876</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jc w:val="center"/>
              <w:ind w:right="437"/>
              <w:spacing w:after="0" w:line="188" w:lineRule="exact"/>
              <w:rPr>
                <w:sz w:val="20"/>
                <w:szCs w:val="20"/>
                <w:color w:val="auto"/>
              </w:rPr>
            </w:pPr>
            <w:r>
              <w:rPr>
                <w:rFonts w:ascii="Arial" w:cs="Arial" w:eastAsia="Arial" w:hAnsi="Arial"/>
                <w:sz w:val="17"/>
                <w:szCs w:val="17"/>
                <w:color w:val="auto"/>
                <w:w w:val="93"/>
              </w:rPr>
              <w:t>2,381</w:t>
            </w:r>
          </w:p>
        </w:tc>
        <w:tc>
          <w:tcPr>
            <w:tcW w:w="0" w:type="dxa"/>
            <w:vAlign w:val="bottom"/>
          </w:tcPr>
          <w:p>
            <w:pPr>
              <w:spacing w:after="0"/>
              <w:rPr>
                <w:sz w:val="1"/>
                <w:szCs w:val="1"/>
                <w:color w:val="auto"/>
              </w:rPr>
            </w:pPr>
          </w:p>
        </w:tc>
      </w:tr>
      <w:tr>
        <w:trPr>
          <w:trHeight w:val="188"/>
        </w:trPr>
        <w:tc>
          <w:tcPr>
            <w:tcW w:w="242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Marc Forth</w:t>
            </w:r>
          </w:p>
        </w:tc>
        <w:tc>
          <w:tcPr>
            <w:tcW w:w="214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w w:val="97"/>
              </w:rPr>
              <w:t>378,852</w:t>
            </w:r>
          </w:p>
        </w:tc>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w w:val="99"/>
              </w:rPr>
              <w:t>30,025</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437"/>
              <w:spacing w:after="0" w:line="188" w:lineRule="exact"/>
              <w:rPr>
                <w:sz w:val="20"/>
                <w:szCs w:val="20"/>
                <w:color w:val="auto"/>
              </w:rPr>
            </w:pPr>
            <w:r>
              <w:rPr>
                <w:rFonts w:ascii="Arial" w:cs="Arial" w:eastAsia="Arial" w:hAnsi="Arial"/>
                <w:sz w:val="17"/>
                <w:szCs w:val="17"/>
                <w:color w:val="auto"/>
                <w:w w:val="99"/>
              </w:rPr>
              <w:t>20,397</w:t>
            </w:r>
          </w:p>
        </w:tc>
        <w:tc>
          <w:tcPr>
            <w:tcW w:w="0" w:type="dxa"/>
            <w:vAlign w:val="bottom"/>
          </w:tcPr>
          <w:p>
            <w:pPr>
              <w:spacing w:after="0"/>
              <w:rPr>
                <w:sz w:val="1"/>
                <w:szCs w:val="1"/>
                <w:color w:val="auto"/>
              </w:rPr>
            </w:pPr>
          </w:p>
        </w:tc>
      </w:tr>
      <w:tr>
        <w:trPr>
          <w:trHeight w:val="188"/>
        </w:trPr>
        <w:tc>
          <w:tcPr>
            <w:tcW w:w="2420" w:type="dxa"/>
            <w:vAlign w:val="bottom"/>
            <w:gridSpan w:val="2"/>
          </w:tcPr>
          <w:p>
            <w:pPr>
              <w:spacing w:after="0" w:line="188" w:lineRule="exact"/>
              <w:rPr>
                <w:sz w:val="20"/>
                <w:szCs w:val="20"/>
                <w:color w:val="auto"/>
              </w:rPr>
            </w:pPr>
            <w:r>
              <w:rPr>
                <w:rFonts w:ascii="Arial" w:cs="Arial" w:eastAsia="Arial" w:hAnsi="Arial"/>
                <w:sz w:val="17"/>
                <w:szCs w:val="17"/>
                <w:color w:val="auto"/>
              </w:rPr>
              <w:t>Robert Palmisano</w:t>
            </w:r>
          </w:p>
        </w:tc>
        <w:tc>
          <w:tcPr>
            <w:tcW w:w="2140" w:type="dxa"/>
            <w:vAlign w:val="bottom"/>
          </w:tcPr>
          <w:p>
            <w:pPr>
              <w:jc w:val="center"/>
              <w:spacing w:after="0" w:line="188" w:lineRule="exact"/>
              <w:rPr>
                <w:sz w:val="20"/>
                <w:szCs w:val="20"/>
                <w:color w:val="auto"/>
              </w:rPr>
            </w:pPr>
            <w:r>
              <w:rPr>
                <w:rFonts w:ascii="Arial" w:cs="Arial" w:eastAsia="Arial" w:hAnsi="Arial"/>
                <w:sz w:val="17"/>
                <w:szCs w:val="17"/>
                <w:color w:val="auto"/>
                <w:w w:val="97"/>
              </w:rPr>
              <w:t>309,142</w:t>
            </w:r>
          </w:p>
        </w:tc>
        <w:tc>
          <w:tcPr>
            <w:tcW w:w="160" w:type="dxa"/>
            <w:vAlign w:val="bottom"/>
          </w:tcPr>
          <w:p>
            <w:pPr>
              <w:spacing w:after="0"/>
              <w:rPr>
                <w:sz w:val="16"/>
                <w:szCs w:val="16"/>
                <w:color w:val="auto"/>
              </w:rPr>
            </w:pPr>
          </w:p>
        </w:tc>
        <w:tc>
          <w:tcPr>
            <w:tcW w:w="1860" w:type="dxa"/>
            <w:vAlign w:val="bottom"/>
          </w:tcPr>
          <w:p>
            <w:pPr>
              <w:jc w:val="center"/>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jc w:val="center"/>
              <w:ind w:right="437"/>
              <w:spacing w:after="0" w:line="188" w:lineRule="exact"/>
              <w:rPr>
                <w:sz w:val="20"/>
                <w:szCs w:val="20"/>
                <w:color w:val="auto"/>
              </w:rPr>
            </w:pPr>
            <w:r>
              <w:rPr>
                <w:rFonts w:ascii="Arial" w:cs="Arial" w:eastAsia="Arial" w:hAnsi="Arial"/>
                <w:sz w:val="17"/>
                <w:szCs w:val="17"/>
                <w:color w:val="auto"/>
                <w:w w:val="93"/>
              </w:rPr>
              <w:t>2,381</w:t>
            </w:r>
          </w:p>
        </w:tc>
        <w:tc>
          <w:tcPr>
            <w:tcW w:w="0" w:type="dxa"/>
            <w:vAlign w:val="bottom"/>
          </w:tcPr>
          <w:p>
            <w:pPr>
              <w:spacing w:after="0"/>
              <w:rPr>
                <w:sz w:val="1"/>
                <w:szCs w:val="1"/>
                <w:color w:val="auto"/>
              </w:rPr>
            </w:pPr>
          </w:p>
        </w:tc>
      </w:tr>
      <w:tr>
        <w:trPr>
          <w:trHeight w:val="188"/>
        </w:trPr>
        <w:tc>
          <w:tcPr>
            <w:tcW w:w="242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Shelley Thunen</w:t>
            </w:r>
          </w:p>
        </w:tc>
        <w:tc>
          <w:tcPr>
            <w:tcW w:w="214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w w:val="97"/>
              </w:rPr>
              <w:t>309,142</w:t>
            </w:r>
          </w:p>
        </w:tc>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437"/>
              <w:spacing w:after="0" w:line="188" w:lineRule="exact"/>
              <w:rPr>
                <w:sz w:val="20"/>
                <w:szCs w:val="20"/>
                <w:color w:val="auto"/>
              </w:rPr>
            </w:pPr>
            <w:r>
              <w:rPr>
                <w:rFonts w:ascii="Arial" w:cs="Arial" w:eastAsia="Arial" w:hAnsi="Arial"/>
                <w:sz w:val="17"/>
                <w:szCs w:val="17"/>
                <w:color w:val="auto"/>
                <w:w w:val="93"/>
              </w:rPr>
              <w:t>2,381</w:t>
            </w:r>
          </w:p>
        </w:tc>
        <w:tc>
          <w:tcPr>
            <w:tcW w:w="0" w:type="dxa"/>
            <w:vAlign w:val="bottom"/>
          </w:tcPr>
          <w:p>
            <w:pPr>
              <w:spacing w:after="0"/>
              <w:rPr>
                <w:sz w:val="1"/>
                <w:szCs w:val="1"/>
                <w:color w:val="auto"/>
              </w:rPr>
            </w:pPr>
          </w:p>
        </w:tc>
      </w:tr>
      <w:tr>
        <w:trPr>
          <w:trHeight w:val="221"/>
        </w:trPr>
        <w:tc>
          <w:tcPr>
            <w:tcW w:w="2420" w:type="dxa"/>
            <w:vAlign w:val="bottom"/>
            <w:gridSpan w:val="2"/>
          </w:tcPr>
          <w:p>
            <w:pPr>
              <w:spacing w:after="0"/>
              <w:rPr>
                <w:sz w:val="20"/>
                <w:szCs w:val="20"/>
                <w:color w:val="auto"/>
              </w:rPr>
            </w:pPr>
            <w:r>
              <w:rPr>
                <w:rFonts w:ascii="Arial" w:cs="Arial" w:eastAsia="Arial" w:hAnsi="Arial"/>
                <w:sz w:val="17"/>
                <w:szCs w:val="17"/>
                <w:color w:val="auto"/>
              </w:rPr>
              <w:t>Seongsoo Park</w:t>
            </w:r>
          </w:p>
        </w:tc>
        <w:tc>
          <w:tcPr>
            <w:tcW w:w="21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center"/>
              <w:ind w:right="437"/>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Our Director Compensation Program provides a $45,000 annual Board retainer and an additional $ 25,000 chairman retainer. Annual committee-chair retainers are $ 15,000 for Audit, $10,000 for Compensation and $7,500 for Nominating and Corporate Governance. Non-chair member retainers are $7,500, $5,000 and $2,500, respectively. Fees are paid quarterly in arrears and prorated for partial quarters.</w:t>
      </w:r>
    </w:p>
    <w:p>
      <w:pPr>
        <w:spacing w:after="0" w:line="67"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The Director Compensation Program also provides for initial option awards with approximately $180,000 grant-date fair value, vesting over three annual installments, and annual option awards with approximately $150,000 grant-date fair value, vesting on the earlier of the first grant anniversary or the next annual meeting. Continued service is required and change-in-control acceleration applies. Because of 2025 share-pool limits, cash-settled RSUs were used in place of annual options. Each nonemployee director other than Mr. Park and Mr. Forth received 308,641 cash-settled RSUs vesting on the first anniversary of grant, and Mr. Forth received 370,370 cash-settled RSUs as his initial grant, vesting in three annual installments. The Board approved share settlement of these RSUs in March 2026.</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7" w:name="page28"/>
    <w:bookmarkEnd w:id="27"/>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Additional applicable compensation disclosure</w:t>
      </w:r>
    </w:p>
    <w:p>
      <w:pPr>
        <w:spacing w:after="0" w:line="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As a smaller reporting company, we provide the scaled executive-compensation tables and narrative required by Items 402(l)–(r) of Regulation S-K. As an emerging growth company, we are exempt from Item 402(v) pay-versus-performance disclosure.</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Recovery of erroneously awarded compensation and option grant practices</w:t>
      </w:r>
    </w:p>
    <w:p>
      <w:pPr>
        <w:spacing w:after="0" w:line="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Our clawback policy covers specified erroneously awarded incentive compensation received by Section 16 officers on or after October 2, 2023, consistent with SEC and Exchange requirements.</w:t>
      </w:r>
    </w:p>
    <w:p>
      <w:pPr>
        <w:spacing w:after="0" w:line="49"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Equity awards are ordinarily granted in the first-quarter annual process and on commencement of employment. We do not grant awards in anticipation of material nonpublic information or time its release to affect executive compensation. If the Compensation Committee knows material nonpublic information when considering a grant, it evaluates whether a delay is appropriate. Option exercise prices use the grant-date closing price on the Exchange, or the preceding trading-day close if the grant date is not a trading day. No 2025 named executive officer option grants occurred during the four-business-day period before or one-business-day period after the specified periodic-report or material-information Form 8-K filings.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The following historical table provides equity compensation plan information as of December 31, 2025. Its notes identify cash-settled RSUs subsequently converted to shares in March 2026.</w:t>
      </w:r>
    </w:p>
    <w:p>
      <w:pPr>
        <w:sectPr>
          <w:pgSz w:w="11900" w:h="16838" w:orient="portrait"/>
          <w:cols w:equalWidth="0" w:num="1">
            <w:col w:w="9019"/>
          </w:cols>
          <w:pgMar w:left="1440" w:top="626" w:right="1440" w:bottom="1440" w:gutter="0" w:footer="0" w:header="0"/>
        </w:sectPr>
      </w:pPr>
    </w:p>
    <w:p>
      <w:pPr>
        <w:spacing w:after="0" w:line="354"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1320" w:type="dxa"/>
            <w:vAlign w:val="bottom"/>
          </w:tcPr>
          <w:p>
            <w:pPr>
              <w:jc w:val="center"/>
              <w:ind w:left="125"/>
              <w:spacing w:after="0"/>
              <w:rPr>
                <w:sz w:val="20"/>
                <w:szCs w:val="20"/>
                <w:color w:val="auto"/>
              </w:rPr>
            </w:pPr>
            <w:r>
              <w:rPr>
                <w:rFonts w:ascii="Arial" w:cs="Arial" w:eastAsia="Arial" w:hAnsi="Arial"/>
                <w:sz w:val="15"/>
                <w:szCs w:val="15"/>
                <w:color w:val="auto"/>
              </w:rPr>
              <w:t>Securities to be</w:t>
            </w:r>
          </w:p>
        </w:tc>
      </w:tr>
      <w:tr>
        <w:trPr>
          <w:trHeight w:val="175"/>
        </w:trPr>
        <w:tc>
          <w:tcPr>
            <w:tcW w:w="4440" w:type="dxa"/>
            <w:vAlign w:val="bottom"/>
          </w:tcPr>
          <w:p>
            <w:pPr>
              <w:spacing w:after="0"/>
              <w:rPr>
                <w:sz w:val="15"/>
                <w:szCs w:val="15"/>
                <w:color w:val="auto"/>
              </w:rPr>
            </w:pPr>
          </w:p>
        </w:tc>
        <w:tc>
          <w:tcPr>
            <w:tcW w:w="1320" w:type="dxa"/>
            <w:vAlign w:val="bottom"/>
          </w:tcPr>
          <w:p>
            <w:pPr>
              <w:jc w:val="center"/>
              <w:ind w:left="125"/>
              <w:spacing w:after="0"/>
              <w:rPr>
                <w:sz w:val="20"/>
                <w:szCs w:val="20"/>
                <w:color w:val="auto"/>
              </w:rPr>
            </w:pPr>
            <w:r>
              <w:rPr>
                <w:rFonts w:ascii="Arial" w:cs="Arial" w:eastAsia="Arial" w:hAnsi="Arial"/>
                <w:sz w:val="15"/>
                <w:szCs w:val="15"/>
                <w:color w:val="auto"/>
                <w:w w:val="99"/>
              </w:rPr>
              <w:t>issued on</w:t>
            </w:r>
          </w:p>
        </w:tc>
      </w:tr>
      <w:tr>
        <w:trPr>
          <w:trHeight w:val="175"/>
        </w:trPr>
        <w:tc>
          <w:tcPr>
            <w:tcW w:w="4440" w:type="dxa"/>
            <w:vAlign w:val="bottom"/>
          </w:tcPr>
          <w:p>
            <w:pPr>
              <w:spacing w:after="0"/>
              <w:rPr>
                <w:sz w:val="15"/>
                <w:szCs w:val="15"/>
                <w:color w:val="auto"/>
              </w:rPr>
            </w:pPr>
          </w:p>
        </w:tc>
        <w:tc>
          <w:tcPr>
            <w:tcW w:w="1320" w:type="dxa"/>
            <w:vAlign w:val="bottom"/>
          </w:tcPr>
          <w:p>
            <w:pPr>
              <w:jc w:val="center"/>
              <w:ind w:left="145"/>
              <w:spacing w:after="0"/>
              <w:rPr>
                <w:sz w:val="20"/>
                <w:szCs w:val="20"/>
                <w:color w:val="auto"/>
              </w:rPr>
            </w:pPr>
            <w:r>
              <w:rPr>
                <w:rFonts w:ascii="Arial" w:cs="Arial" w:eastAsia="Arial" w:hAnsi="Arial"/>
                <w:sz w:val="15"/>
                <w:szCs w:val="15"/>
                <w:color w:val="auto"/>
              </w:rPr>
              <w:t>outstanding</w:t>
            </w:r>
          </w:p>
        </w:tc>
      </w:tr>
      <w:tr>
        <w:trPr>
          <w:trHeight w:val="176"/>
        </w:trPr>
        <w:tc>
          <w:tcPr>
            <w:tcW w:w="4440" w:type="dxa"/>
            <w:vAlign w:val="bottom"/>
          </w:tcPr>
          <w:p>
            <w:pPr>
              <w:spacing w:after="0"/>
              <w:rPr>
                <w:sz w:val="20"/>
                <w:szCs w:val="20"/>
                <w:color w:val="auto"/>
              </w:rPr>
            </w:pPr>
            <w:r>
              <w:rPr>
                <w:rFonts w:ascii="Arial" w:cs="Arial" w:eastAsia="Arial" w:hAnsi="Arial"/>
                <w:sz w:val="15"/>
                <w:szCs w:val="15"/>
                <w:color w:val="auto"/>
              </w:rPr>
              <w:t>Plan Category</w:t>
            </w:r>
          </w:p>
        </w:tc>
        <w:tc>
          <w:tcPr>
            <w:tcW w:w="1320" w:type="dxa"/>
            <w:vAlign w:val="bottom"/>
          </w:tcPr>
          <w:p>
            <w:pPr>
              <w:jc w:val="center"/>
              <w:ind w:left="145"/>
              <w:spacing w:after="0"/>
              <w:rPr>
                <w:sz w:val="20"/>
                <w:szCs w:val="20"/>
                <w:color w:val="auto"/>
              </w:rPr>
            </w:pPr>
            <w:r>
              <w:rPr>
                <w:rFonts w:ascii="Arial" w:cs="Arial" w:eastAsia="Arial" w:hAnsi="Arial"/>
                <w:sz w:val="15"/>
                <w:szCs w:val="15"/>
                <w:color w:val="auto"/>
                <w:w w:val="98"/>
              </w:rPr>
              <w:t>awards (a)</w:t>
            </w:r>
          </w:p>
        </w:tc>
      </w:tr>
      <w:tr>
        <w:trPr>
          <w:trHeight w:val="175"/>
        </w:trPr>
        <w:tc>
          <w:tcPr>
            <w:tcW w:w="4440" w:type="dxa"/>
            <w:vAlign w:val="bottom"/>
          </w:tcPr>
          <w:p>
            <w:pPr>
              <w:spacing w:after="0" w:line="175" w:lineRule="exact"/>
              <w:rPr>
                <w:sz w:val="20"/>
                <w:szCs w:val="20"/>
                <w:color w:val="auto"/>
              </w:rPr>
            </w:pPr>
            <w:r>
              <w:rPr>
                <w:rFonts w:ascii="Arial" w:cs="Arial" w:eastAsia="Arial" w:hAnsi="Arial"/>
                <w:sz w:val="14"/>
                <w:szCs w:val="14"/>
                <w:color w:val="auto"/>
              </w:rPr>
              <w:t xml:space="preserve">Equity compensation plans approved by security holders </w:t>
            </w:r>
            <w:r>
              <w:rPr>
                <w:rFonts w:ascii="Arial" w:cs="Arial" w:eastAsia="Arial" w:hAnsi="Arial"/>
                <w:sz w:val="20"/>
                <w:szCs w:val="20"/>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5"/>
                <w:szCs w:val="15"/>
                <w:color w:val="auto"/>
              </w:rPr>
              <w:t>5,410,596</w:t>
            </w:r>
          </w:p>
        </w:tc>
      </w:tr>
      <w:tr>
        <w:trPr>
          <w:trHeight w:val="187"/>
        </w:trPr>
        <w:tc>
          <w:tcPr>
            <w:tcW w:w="4440" w:type="dxa"/>
            <w:vAlign w:val="bottom"/>
          </w:tcPr>
          <w:p>
            <w:pPr>
              <w:spacing w:after="0" w:line="188" w:lineRule="exact"/>
              <w:rPr>
                <w:sz w:val="20"/>
                <w:szCs w:val="20"/>
                <w:color w:val="auto"/>
              </w:rPr>
            </w:pPr>
            <w:r>
              <w:rPr>
                <w:rFonts w:ascii="Arial" w:cs="Arial" w:eastAsia="Arial" w:hAnsi="Arial"/>
                <w:sz w:val="14"/>
                <w:szCs w:val="14"/>
                <w:color w:val="auto"/>
              </w:rPr>
              <w:t xml:space="preserve">Equity compensation plans not approved by security holders </w:t>
            </w:r>
            <w:r>
              <w:rPr>
                <w:rFonts w:ascii="Arial" w:cs="Arial" w:eastAsia="Arial" w:hAnsi="Arial"/>
                <w:sz w:val="21"/>
                <w:szCs w:val="21"/>
                <w:color w:val="auto"/>
                <w:vertAlign w:val="superscript"/>
              </w:rPr>
              <w:t>(5)</w:t>
            </w:r>
          </w:p>
        </w:tc>
        <w:tc>
          <w:tcPr>
            <w:tcW w:w="1320" w:type="dxa"/>
            <w:vAlign w:val="bottom"/>
          </w:tcPr>
          <w:p>
            <w:pPr>
              <w:jc w:val="right"/>
              <w:spacing w:after="0"/>
              <w:rPr>
                <w:sz w:val="20"/>
                <w:szCs w:val="20"/>
                <w:color w:val="auto"/>
              </w:rPr>
            </w:pPr>
            <w:r>
              <w:rPr>
                <w:rFonts w:ascii="Arial" w:cs="Arial" w:eastAsia="Arial" w:hAnsi="Arial"/>
                <w:sz w:val="15"/>
                <w:szCs w:val="15"/>
                <w:color w:val="auto"/>
              </w:rPr>
              <w:t>731,175</w:t>
            </w:r>
          </w:p>
        </w:tc>
      </w:tr>
      <w:tr>
        <w:trPr>
          <w:trHeight w:val="198"/>
        </w:trPr>
        <w:tc>
          <w:tcPr>
            <w:tcW w:w="4440" w:type="dxa"/>
            <w:vAlign w:val="bottom"/>
          </w:tcPr>
          <w:p>
            <w:pPr>
              <w:spacing w:after="0"/>
              <w:rPr>
                <w:sz w:val="20"/>
                <w:szCs w:val="20"/>
                <w:color w:val="auto"/>
              </w:rPr>
            </w:pPr>
            <w:r>
              <w:rPr>
                <w:rFonts w:ascii="Arial" w:cs="Arial" w:eastAsia="Arial" w:hAnsi="Arial"/>
                <w:sz w:val="15"/>
                <w:szCs w:val="15"/>
                <w:color w:val="auto"/>
              </w:rPr>
              <w:t>Totals</w:t>
            </w:r>
          </w:p>
        </w:tc>
        <w:tc>
          <w:tcPr>
            <w:tcW w:w="1320" w:type="dxa"/>
            <w:vAlign w:val="bottom"/>
          </w:tcPr>
          <w:p>
            <w:pPr>
              <w:jc w:val="right"/>
              <w:spacing w:after="0"/>
              <w:rPr>
                <w:sz w:val="20"/>
                <w:szCs w:val="20"/>
                <w:color w:val="auto"/>
              </w:rPr>
            </w:pPr>
            <w:r>
              <w:rPr>
                <w:rFonts w:ascii="Arial" w:cs="Arial" w:eastAsia="Arial" w:hAnsi="Arial"/>
                <w:sz w:val="15"/>
                <w:szCs w:val="15"/>
                <w:color w:val="auto"/>
              </w:rPr>
              <w:t>6,141,771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-117475</wp:posOffset>
            </wp:positionV>
            <wp:extent cx="5455920"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5920" cy="11112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-347980</wp:posOffset>
            </wp:positionV>
            <wp:extent cx="5455920" cy="119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5920" cy="119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restart"/>
          </w:tcPr>
          <w:p>
            <w:pPr>
              <w:jc w:val="center"/>
              <w:ind w:right="48"/>
              <w:spacing w:after="0"/>
              <w:rPr>
                <w:sz w:val="20"/>
                <w:szCs w:val="20"/>
                <w:color w:val="auto"/>
              </w:rPr>
            </w:pPr>
            <w:r>
              <w:rPr>
                <w:rFonts w:ascii="Arial" w:cs="Arial" w:eastAsia="Arial" w:hAnsi="Arial"/>
                <w:sz w:val="15"/>
                <w:szCs w:val="15"/>
                <w:color w:val="auto"/>
                <w:w w:val="99"/>
              </w:rPr>
              <w:t>Weighted-</w:t>
            </w:r>
          </w:p>
        </w:tc>
        <w:tc>
          <w:tcPr>
            <w:tcW w:w="1200" w:type="dxa"/>
            <w:vAlign w:val="bottom"/>
          </w:tcPr>
          <w:p>
            <w:pPr>
              <w:jc w:val="center"/>
              <w:spacing w:after="0"/>
              <w:rPr>
                <w:sz w:val="20"/>
                <w:szCs w:val="20"/>
                <w:color w:val="auto"/>
              </w:rPr>
            </w:pPr>
            <w:r>
              <w:rPr>
                <w:rFonts w:ascii="Arial" w:cs="Arial" w:eastAsia="Arial" w:hAnsi="Arial"/>
                <w:sz w:val="15"/>
                <w:szCs w:val="15"/>
                <w:color w:val="auto"/>
              </w:rPr>
              <w:t>Securities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rPr>
              <w:t>available for</w:t>
            </w: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restart"/>
          </w:tcPr>
          <w:p>
            <w:pPr>
              <w:jc w:val="center"/>
              <w:ind w:right="48"/>
              <w:spacing w:after="0"/>
              <w:rPr>
                <w:sz w:val="20"/>
                <w:szCs w:val="20"/>
                <w:color w:val="auto"/>
              </w:rPr>
            </w:pPr>
            <w:r>
              <w:rPr>
                <w:rFonts w:ascii="Arial" w:cs="Arial" w:eastAsia="Arial" w:hAnsi="Arial"/>
                <w:sz w:val="15"/>
                <w:szCs w:val="15"/>
                <w:color w:val="auto"/>
              </w:rPr>
              <w:t>average option</w:t>
            </w:r>
          </w:p>
        </w:tc>
        <w:tc>
          <w:tcPr>
            <w:tcW w:w="12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rPr>
              <w:t>future issuance</w:t>
            </w: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1220" w:type="dxa"/>
            <w:vAlign w:val="bottom"/>
            <w:gridSpan w:val="2"/>
          </w:tcPr>
          <w:p>
            <w:pPr>
              <w:jc w:val="center"/>
              <w:spacing w:after="0" w:line="150" w:lineRule="exact"/>
              <w:rPr>
                <w:sz w:val="20"/>
                <w:szCs w:val="20"/>
                <w:color w:val="auto"/>
              </w:rPr>
            </w:pPr>
            <w:r>
              <w:rPr>
                <w:rFonts w:ascii="Arial" w:cs="Arial" w:eastAsia="Arial" w:hAnsi="Arial"/>
                <w:sz w:val="15"/>
                <w:szCs w:val="15"/>
                <w:color w:val="auto"/>
              </w:rPr>
              <w:t>exercise price (b)</w:t>
            </w:r>
          </w:p>
        </w:tc>
        <w:tc>
          <w:tcPr>
            <w:tcW w:w="1200" w:type="dxa"/>
            <w:vAlign w:val="bottom"/>
            <w:vMerge w:val="continue"/>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3"/>
        </w:trPr>
        <w:tc>
          <w:tcPr>
            <w:tcW w:w="240" w:type="dxa"/>
            <w:vAlign w:val="bottom"/>
            <w:gridSpan w:val="2"/>
          </w:tcPr>
          <w:p>
            <w:pPr>
              <w:ind w:left="80"/>
              <w:spacing w:after="0" w:line="138" w:lineRule="exact"/>
              <w:rPr>
                <w:sz w:val="20"/>
                <w:szCs w:val="20"/>
                <w:color w:val="auto"/>
              </w:rPr>
            </w:pPr>
            <w:r>
              <w:rPr>
                <w:rFonts w:ascii="Arial" w:cs="Arial" w:eastAsia="Arial" w:hAnsi="Arial"/>
                <w:sz w:val="15"/>
                <w:szCs w:val="15"/>
                <w:color w:val="auto"/>
              </w:rPr>
              <w:t>​​​</w:t>
            </w:r>
          </w:p>
        </w:tc>
        <w:tc>
          <w:tcPr>
            <w:tcW w:w="1160" w:type="dxa"/>
            <w:vAlign w:val="bottom"/>
          </w:tcPr>
          <w:p>
            <w:pPr>
              <w:jc w:val="center"/>
              <w:ind w:right="28"/>
              <w:spacing w:after="0"/>
              <w:rPr>
                <w:sz w:val="20"/>
                <w:szCs w:val="20"/>
                <w:color w:val="auto"/>
              </w:rPr>
            </w:pPr>
            <w:r>
              <w:rPr>
                <w:rFonts w:ascii="Arial" w:cs="Arial" w:eastAsia="Arial" w:hAnsi="Arial"/>
                <w:sz w:val="11"/>
                <w:szCs w:val="11"/>
                <w:color w:val="auto"/>
              </w:rPr>
              <w:t>(1)</w:t>
            </w:r>
          </w:p>
        </w:tc>
        <w:tc>
          <w:tcPr>
            <w:tcW w:w="1200" w:type="dxa"/>
            <w:vAlign w:val="bottom"/>
          </w:tcPr>
          <w:p>
            <w:pPr>
              <w:jc w:val="center"/>
              <w:spacing w:after="0" w:line="138" w:lineRule="exact"/>
              <w:rPr>
                <w:sz w:val="20"/>
                <w:szCs w:val="20"/>
                <w:color w:val="auto"/>
              </w:rPr>
            </w:pPr>
            <w:r>
              <w:rPr>
                <w:rFonts w:ascii="Arial" w:cs="Arial" w:eastAsia="Arial" w:hAnsi="Arial"/>
                <w:sz w:val="15"/>
                <w:szCs w:val="15"/>
                <w:color w:val="auto"/>
              </w:rPr>
              <w:t>(c)</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80" w:type="dxa"/>
            <w:vAlign w:val="bottom"/>
          </w:tcPr>
          <w:p>
            <w:pPr>
              <w:jc w:val="right"/>
              <w:spacing w:after="0" w:line="124" w:lineRule="exact"/>
              <w:rPr>
                <w:sz w:val="20"/>
                <w:szCs w:val="20"/>
                <w:color w:val="auto"/>
              </w:rPr>
            </w:pPr>
            <w:r>
              <w:rPr>
                <w:rFonts w:ascii="Arial" w:cs="Arial" w:eastAsia="Arial" w:hAnsi="Arial"/>
                <w:sz w:val="11"/>
                <w:szCs w:val="11"/>
                <w:color w:val="auto"/>
                <w:w w:val="88"/>
              </w:rPr>
              <w:t>(3)</w:t>
            </w:r>
          </w:p>
        </w:tc>
        <w:tc>
          <w:tcPr>
            <w:tcW w:w="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8"/>
              <w:spacing w:after="0" w:line="151" w:lineRule="exact"/>
              <w:rPr>
                <w:sz w:val="20"/>
                <w:szCs w:val="20"/>
                <w:color w:val="auto"/>
              </w:rPr>
            </w:pPr>
            <w:r>
              <w:rPr>
                <w:rFonts w:ascii="Arial" w:cs="Arial" w:eastAsia="Arial" w:hAnsi="Arial"/>
                <w:sz w:val="15"/>
                <w:szCs w:val="15"/>
                <w:color w:val="auto"/>
              </w:rPr>
              <w:t>473.68</w:t>
            </w:r>
          </w:p>
        </w:tc>
        <w:tc>
          <w:tcPr>
            <w:tcW w:w="12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60,225</w:t>
            </w:r>
          </w:p>
        </w:tc>
        <w:tc>
          <w:tcPr>
            <w:tcW w:w="200" w:type="dxa"/>
            <w:vAlign w:val="bottom"/>
          </w:tcPr>
          <w:p>
            <w:pPr>
              <w:jc w:val="right"/>
              <w:ind w:right="14"/>
              <w:spacing w:after="0" w:line="124" w:lineRule="exact"/>
              <w:rPr>
                <w:sz w:val="20"/>
                <w:szCs w:val="20"/>
                <w:color w:val="auto"/>
              </w:rPr>
            </w:pPr>
            <w:r>
              <w:rPr>
                <w:rFonts w:ascii="Arial" w:cs="Arial" w:eastAsia="Arial" w:hAnsi="Arial"/>
                <w:sz w:val="11"/>
                <w:szCs w:val="11"/>
                <w:color w:val="auto"/>
                <w:w w:val="74"/>
              </w:rPr>
              <w:t>(4)</w:t>
            </w:r>
          </w:p>
        </w:tc>
        <w:tc>
          <w:tcPr>
            <w:tcW w:w="0" w:type="dxa"/>
            <w:vAlign w:val="bottom"/>
          </w:tcPr>
          <w:p>
            <w:pPr>
              <w:spacing w:after="0"/>
              <w:rPr>
                <w:sz w:val="1"/>
                <w:szCs w:val="1"/>
                <w:color w:val="auto"/>
              </w:rPr>
            </w:pPr>
          </w:p>
        </w:tc>
      </w:tr>
      <w:tr>
        <w:trPr>
          <w:trHeight w:val="187"/>
        </w:trPr>
        <w:tc>
          <w:tcPr>
            <w:tcW w:w="180" w:type="dxa"/>
            <w:vAlign w:val="bottom"/>
          </w:tcPr>
          <w:p>
            <w:pPr>
              <w:jc w:val="right"/>
              <w:spacing w:after="0"/>
              <w:rPr>
                <w:sz w:val="20"/>
                <w:szCs w:val="20"/>
                <w:color w:val="auto"/>
              </w:rPr>
            </w:pPr>
            <w:r>
              <w:rPr>
                <w:rFonts w:ascii="Arial" w:cs="Arial" w:eastAsia="Arial" w:hAnsi="Arial"/>
                <w:sz w:val="11"/>
                <w:szCs w:val="11"/>
                <w:color w:val="auto"/>
                <w:w w:val="88"/>
              </w:rPr>
              <w:t>(6)</w:t>
            </w:r>
          </w:p>
        </w:tc>
        <w:tc>
          <w:tcPr>
            <w:tcW w:w="6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0.41</w:t>
            </w:r>
          </w:p>
        </w:tc>
        <w:tc>
          <w:tcPr>
            <w:tcW w:w="1400" w:type="dxa"/>
            <w:vAlign w:val="bottom"/>
            <w:gridSpan w:val="2"/>
          </w:tcPr>
          <w:p>
            <w:pPr>
              <w:jc w:val="right"/>
              <w:ind w:right="14"/>
              <w:spacing w:after="0" w:line="188" w:lineRule="exact"/>
              <w:rPr>
                <w:sz w:val="20"/>
                <w:szCs w:val="20"/>
                <w:color w:val="auto"/>
              </w:rPr>
            </w:pPr>
            <w:r>
              <w:rPr>
                <w:rFonts w:ascii="Arial" w:cs="Arial" w:eastAsia="Arial" w:hAnsi="Arial"/>
                <w:sz w:val="14"/>
                <w:szCs w:val="14"/>
                <w:color w:val="auto"/>
              </w:rPr>
              <w:t xml:space="preserve">268,825 </w:t>
            </w:r>
            <w:r>
              <w:rPr>
                <w:rFonts w:ascii="Arial" w:cs="Arial" w:eastAsia="Arial" w:hAnsi="Arial"/>
                <w:sz w:val="21"/>
                <w:szCs w:val="21"/>
                <w:color w:val="auto"/>
                <w:vertAlign w:val="superscript"/>
              </w:rPr>
              <w:t>(7)</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329,050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60" w:space="60"/>
            <w:col w:w="2999"/>
          </w:cols>
          <w:pgMar w:left="1440" w:top="626" w:right="1440"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ind w:left="200" w:right="219" w:firstLine="3"/>
        <w:spacing w:after="0" w:line="262" w:lineRule="auto"/>
        <w:tabs>
          <w:tab w:leader="none" w:pos="454"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Weighted-average exercise prices exclude RSUs, which have no exercise price, and include outstanding options only.</w:t>
      </w:r>
    </w:p>
    <w:p>
      <w:pPr>
        <w:spacing w:after="0" w:line="49" w:lineRule="exact"/>
        <w:rPr>
          <w:rFonts w:ascii="Arial" w:cs="Arial" w:eastAsia="Arial" w:hAnsi="Arial"/>
          <w:sz w:val="17"/>
          <w:szCs w:val="17"/>
          <w:color w:val="auto"/>
        </w:rPr>
      </w:pPr>
    </w:p>
    <w:p>
      <w:pPr>
        <w:ind w:left="200" w:right="219" w:firstLine="3"/>
        <w:spacing w:after="0" w:line="262" w:lineRule="auto"/>
        <w:tabs>
          <w:tab w:leader="none" w:pos="4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Plans approved by security holders comprise the AEON Biopharma, Inc. Amended and Restated 2019 Incentive Award Plan (the “ABP 2019 Plan”), the 2023 Plan and the ESPP.</w:t>
      </w:r>
    </w:p>
    <w:p>
      <w:pPr>
        <w:spacing w:after="0" w:line="49" w:lineRule="exact"/>
        <w:rPr>
          <w:rFonts w:ascii="Arial" w:cs="Arial" w:eastAsia="Arial" w:hAnsi="Arial"/>
          <w:sz w:val="17"/>
          <w:szCs w:val="17"/>
          <w:color w:val="auto"/>
        </w:rPr>
      </w:pPr>
    </w:p>
    <w:p>
      <w:pPr>
        <w:jc w:val="both"/>
        <w:ind w:left="200" w:right="219" w:firstLine="3"/>
        <w:spacing w:after="0" w:line="241" w:lineRule="auto"/>
        <w:tabs>
          <w:tab w:leader="none" w:pos="462" w:val="left"/>
        </w:tabs>
        <w:numPr>
          <w:ilvl w:val="0"/>
          <w:numId w:val="14"/>
        </w:numPr>
        <w:rPr>
          <w:rFonts w:ascii="Arial" w:cs="Arial" w:eastAsia="Arial" w:hAnsi="Arial"/>
          <w:sz w:val="17"/>
          <w:szCs w:val="17"/>
          <w:color w:val="auto"/>
        </w:rPr>
      </w:pPr>
      <w:r>
        <w:rPr>
          <w:rFonts w:ascii="Arial" w:cs="Arial" w:eastAsia="Arial" w:hAnsi="Arial"/>
          <w:sz w:val="17"/>
          <w:szCs w:val="17"/>
          <w:color w:val="auto"/>
        </w:rPr>
        <w:t>Awards outstanding under plans approved by security holders comprise 47,955 options and 9,351 RSUs under the ABP 2019 Plan, and 51,016 options, 14,215 share-settled RSUs and 5,288,059 cash-settled RSUs under the 2023 Plan. The identified cash-settled awards were approved for share settlement in March 2026 with otherwise unchanged terms.</w:t>
      </w:r>
    </w:p>
    <w:p>
      <w:pPr>
        <w:spacing w:after="0" w:line="66" w:lineRule="exact"/>
        <w:rPr>
          <w:rFonts w:ascii="Arial" w:cs="Arial" w:eastAsia="Arial" w:hAnsi="Arial"/>
          <w:sz w:val="17"/>
          <w:szCs w:val="17"/>
          <w:color w:val="auto"/>
        </w:rPr>
      </w:pPr>
    </w:p>
    <w:p>
      <w:pPr>
        <w:jc w:val="both"/>
        <w:ind w:left="200" w:right="219" w:firstLine="3"/>
        <w:spacing w:after="0" w:line="236" w:lineRule="auto"/>
        <w:tabs>
          <w:tab w:leader="none" w:pos="47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of December 31, 2025, 40,806 shares remained available for issuance under the 2023 Plan and 19,419 shares remained available for issuance under the ESPP. Further grants are not permitted under the ABP 2019 Plan, but eligible forfeited shares may return to the 2023 Plan. The ESPP became effective in July 2023 and had no offering period in effect at December 31, 2025. The Plan, as currently in effect and approved January 21, 2026, uses 5% of prior-year-end fully-diluted shares for annual increases beginning January 1, 2027 through January 1, 2033, subject to a smaller Board determination. The ESPP has a separate annual increase mechanism, which is the subject of the ESPP Proposal.</w:t>
      </w:r>
    </w:p>
    <w:p>
      <w:pPr>
        <w:spacing w:after="0" w:line="69" w:lineRule="exact"/>
        <w:rPr>
          <w:rFonts w:ascii="Arial" w:cs="Arial" w:eastAsia="Arial" w:hAnsi="Arial"/>
          <w:sz w:val="17"/>
          <w:szCs w:val="17"/>
          <w:color w:val="auto"/>
        </w:rPr>
      </w:pPr>
    </w:p>
    <w:p>
      <w:pPr>
        <w:ind w:left="200" w:right="219" w:firstLine="3"/>
        <w:spacing w:after="0" w:line="262" w:lineRule="auto"/>
        <w:tabs>
          <w:tab w:leader="none" w:pos="45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plan not approved by security holders is the Inducement Plan, adopted by the Board in April 2025 pursuant to the applicable Exchange exceptions. It permits nonqualified options, RSUs, restricted stock,</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28" w:name="page29"/>
    <w:bookmarkEnd w:id="28"/>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61" w:lineRule="auto"/>
        <w:rPr>
          <w:sz w:val="20"/>
          <w:szCs w:val="20"/>
          <w:color w:val="auto"/>
        </w:rPr>
      </w:pPr>
      <w:r>
        <w:rPr>
          <w:rFonts w:ascii="Arial" w:cs="Arial" w:eastAsia="Arial" w:hAnsi="Arial"/>
          <w:sz w:val="16"/>
          <w:szCs w:val="16"/>
          <w:color w:val="auto"/>
        </w:rPr>
        <w:t>SARs, performance shares and performance units. Its terms generally follow the 2023 Plan, with provisions addressing the applicable inducement or acquisition/merger exception. Inducement grants are limited to eligible persons beginning employment or returning after a bona fide interruption, where the award is a material inducement to enter employment. The Board initially reserved 1,000,000 shares and added another 1,000,000 in March 2026.</w:t>
      </w:r>
    </w:p>
    <w:p>
      <w:pPr>
        <w:spacing w:after="0" w:line="51" w:lineRule="exact"/>
        <w:rPr>
          <w:sz w:val="20"/>
          <w:szCs w:val="20"/>
          <w:color w:val="auto"/>
        </w:rPr>
      </w:pPr>
    </w:p>
    <w:p>
      <w:pPr>
        <w:ind w:left="460" w:hanging="2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Outstanding awards under the Inducement Plan comprise 59,034 options and 672,141 RSUs.</w:t>
      </w:r>
    </w:p>
    <w:p>
      <w:pPr>
        <w:spacing w:after="0" w:line="92" w:lineRule="exact"/>
        <w:rPr>
          <w:rFonts w:ascii="Arial" w:cs="Arial" w:eastAsia="Arial" w:hAnsi="Arial"/>
          <w:sz w:val="17"/>
          <w:szCs w:val="17"/>
          <w:color w:val="auto"/>
        </w:rPr>
      </w:pPr>
    </w:p>
    <w:p>
      <w:pPr>
        <w:jc w:val="both"/>
        <w:ind w:left="200" w:right="219" w:firstLine="3"/>
        <w:spacing w:after="0" w:line="241" w:lineRule="auto"/>
        <w:tabs>
          <w:tab w:leader="none" w:pos="4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268,825 shares of Common Stock remaining available for future issuance under the Inducement Plan as of December 31, 2025. Does not reflect the additional 1,000,000 shares reserved under that plan in March 2026. Excludes shares underlying warrants issued in financing transactions, which are not awards under any equity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9" w:name="page30"/>
    <w:bookmarkEnd w:id="29"/>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3 — THE ESPP PROPOSAL</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Overview and purpose</w:t>
      </w:r>
    </w:p>
    <w:p>
      <w:pPr>
        <w:spacing w:after="0" w:line="9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We ask stockholders to approve a limited-purpose amendment and restatement of the ESPP to include shares underlying outstanding pre-funded warrants in the fully-diluted shares used to calculate the ESPP’s annual evergreen increases. Shares underlying other outstanding warrants remain excluded. On October 7, 2026, the Board approved the amended and restated ESPP, subject to stockholder approval. Appendix C contains the complete ESPP, as amended and restated. Apart from this change, the renaming of the ESPP and related conforming and renumbering changes, the amendment and restatement does not change the ESPP’s initial share reserve, 1% evergreen rate, Board discretion to determine a smaller annual increase, annual measurement date, evergreen years, aggregate share limit, eligibility requirements, purchase price, offering terms or other material terms.</w:t>
      </w:r>
    </w:p>
    <w:p>
      <w:pPr>
        <w:spacing w:after="0" w:line="68"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ESPP originally became effective on July 21, 2023, in connection with the closing of our business combination with Priveterra Acquisition Corp. As of December 31, 2025, 19,419 shares remained available for issuance under the ESPP, and no offering period was in effect.</w:t>
      </w:r>
    </w:p>
    <w:p>
      <w:pPr>
        <w:spacing w:after="0" w:line="6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Board’s reasons for the amendment are the same as those described under “Overview and purpose” in Proposal 2. The amendment also keeps the capitalization measure used for the ESPP consistent with the measure proposed for the Plan, although the two proposals are not conditioned on each other. It increases potential dilution relative to the current definition while pre-funded warrants remain outstanding, and the Board retains discretion to approve a smaller increase in any year.</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Exact amendment and definition</w:t>
      </w:r>
    </w:p>
    <w:p>
      <w:pPr>
        <w:spacing w:after="0" w:line="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Section 2.17’s warrant exclusion will be revised from excluding shares subject to “warrants outstanding on such date” to excluding shares subject to such warrants “other than Pre-Funded Warrants,” and clause (iii) will expressly include Pre-Funded Warrants. The following definition, which is the same in substance as the Plan definition described in Proposal 2, is added as Section 2.24, with subsequent sections renumbered:</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2.24 “Pre-Funded Warrants” means any warrant to acquire shares of Common Stock for a nominal exercise price.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Expected effect and dilution information</w:t>
      </w:r>
    </w:p>
    <w:p>
      <w:pPr>
        <w:spacing w:after="0" w:line="9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The amendment does not immediately add a fixed number of shares to the ESPP. It changes the denominator for the remaining annual evergreen increases, beginning with the increase on January 1, 2027 (if approved before that date) and ending with the increase on January 1, 2033. Each annual increase remains the lesser of 1% of the fully-diluted shares on the last day of the preceding calendar year and a smaller number of shares determined by the Board, and total issuances remain subject to the ESPP’s aggregate limit. For illustration only, if the 39,005,349 shares underlying pre-funded warrants outstanding as of October 23, 2026 remained outstanding on December 31, 2026, the amendment would increase the maximum January 1, 2027 evergreen increase by approximately 390,053 shares. Actual amounts will depend on year-end capitalization, any reverse stock split and any Board determination of a smaller increase.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Stockholder approval</w:t>
      </w:r>
    </w:p>
    <w:p>
      <w:pPr>
        <w:spacing w:after="0" w:line="1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Section 9.1 of the ESPP requires stockholder approval of any amendment that increases the aggregate number of shares that may be sold under the ESPP. Because this amendment can increase the number of shares available through the ESPP evergreen, it may also be treated as the adoption of a new plan under Treasury Regulation Section 1.423-2(c)(4), which must be approved by stockholders within 12 months for the ESPP to remain qualified under Section 423 of the Code. The Board will not apply the broadened denominator without stockholder approval.</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0" w:name="page31"/>
    <w:bookmarkEnd w:id="30"/>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Summary of material ESPP provisions</w:t>
      </w:r>
    </w:p>
    <w:p>
      <w:pPr>
        <w:spacing w:after="0" w:line="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following describes the ESPP as amended and restated and is qualified by the complete text in Appendix C. The amendment and restatement does not change the provisions summarized below, except the fully-diluted shares definition described above. The ESPP is intended to qualify as an “employee stock purchase plan” under Section 423(b) of the Code.</w:t>
      </w:r>
    </w:p>
    <w:p>
      <w:pPr>
        <w:spacing w:after="0" w:line="67"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b w:val="1"/>
          <w:bCs w:val="1"/>
          <w:color w:val="auto"/>
        </w:rPr>
        <w:t xml:space="preserve">Shares available. </w:t>
      </w:r>
      <w:r>
        <w:rPr>
          <w:rFonts w:ascii="Arial" w:cs="Arial" w:eastAsia="Arial" w:hAnsi="Arial"/>
          <w:sz w:val="17"/>
          <w:szCs w:val="17"/>
          <w:color w:val="auto"/>
        </w:rPr>
        <w:t>Subject to adjustment, the ESPP authorizes the issuance of 488,146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This amount increases on January 1 of each year from 2024 through 2033 by the lesser of 1% of the fully-diluted shares on the last day of the preceding calendar year and a smaller number determined by the Board. No more than 50,000,000 shares may be issued under the ESPP, subject to adjustment. Shares not purchased under a right that terminates without being exercised again become available. Shares issued under the ESPP may be authorized but unissued shares, treasury shares or shares purchased on the open market.</w:t>
      </w:r>
    </w:p>
    <w:p>
      <w:pPr>
        <w:spacing w:after="0" w:line="69"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Compensation Committee administers the ESPP unless the Board determines otherwise or</w:t>
      </w:r>
      <w:r>
        <w:rPr>
          <w:rFonts w:ascii="Arial" w:cs="Arial" w:eastAsia="Arial" w:hAnsi="Arial"/>
          <w:sz w:val="17"/>
          <w:szCs w:val="17"/>
          <w:b w:val="1"/>
          <w:bCs w:val="1"/>
          <w:color w:val="auto"/>
        </w:rPr>
        <w:t xml:space="preserve"> </w:t>
      </w:r>
      <w:r>
        <w:rPr>
          <w:rFonts w:ascii="Arial" w:cs="Arial" w:eastAsia="Arial" w:hAnsi="Arial"/>
          <w:sz w:val="17"/>
          <w:szCs w:val="17"/>
          <w:color w:val="auto"/>
        </w:rPr>
        <w:t>assumes administration. The Administrator may construe and interpret the ESPP, establish the terms of each offering, designate participating subsidiaries and adopt rules for the ESPP’s administration.</w:t>
      </w:r>
    </w:p>
    <w:p>
      <w:pPr>
        <w:spacing w:after="0" w:line="6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Employees of the Company and its designated subsidiaries are eligible to participate. However, an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who would own 5% or more of the total combined voting power or value of our stock immediately after a grant may not participate. In an offering document, the Administrator may also exclude highly compensated employees, employees who have not met a service requirement of up to two years, employees customarily employed for 20 hours or less per week or for less than five months in a calendar year, and certain non-U.S. employees where local law requires, with any exclusion applied uniformly as Section 423 of the Code requires. Nonemployee directors are not eligible. As of October 23, 2026, approximately nine employees, including five executive officers, were eligible to participate in the ESPP.</w:t>
      </w:r>
    </w:p>
    <w:p>
      <w:pPr>
        <w:spacing w:after="0" w:line="72"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6"/>
          <w:szCs w:val="16"/>
          <w:b w:val="1"/>
          <w:bCs w:val="1"/>
          <w:color w:val="auto"/>
        </w:rPr>
        <w:t xml:space="preserve">Offering periods. </w:t>
      </w:r>
      <w:r>
        <w:rPr>
          <w:rFonts w:ascii="Arial" w:cs="Arial" w:eastAsia="Arial" w:hAnsi="Arial"/>
          <w:sz w:val="16"/>
          <w:szCs w:val="16"/>
          <w:color w:val="auto"/>
        </w:rPr>
        <w:t>The Administrator establishes offering periods, each of which may include one or more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and may not exceed 27 months. Unless the Administrator designates otherwise, a participant may purchase no more than 50,000 shares in an offering period with one purchase period, or in each purchase period of an offering period with more than one purchase period. Purchase rights are granted on the enrollment date of each offering period and are exercised automatically on each purchase date to buy the number of whole shares that the participant’s accumulated payroll deductions will purchase at the purchase price. A right expires on the earliest of the last purchase date of the offering period, the last day of the offering period and the participant’s withdrawal. If purchases would exceed the shares available, the Administrator may allocate the available shares pro rata.</w:t>
      </w:r>
    </w:p>
    <w:p>
      <w:pPr>
        <w:spacing w:after="0" w:line="64"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b w:val="1"/>
          <w:bCs w:val="1"/>
          <w:color w:val="auto"/>
        </w:rPr>
        <w:t xml:space="preserve">Payroll deductions and withdrawal. </w:t>
      </w:r>
      <w:r>
        <w:rPr>
          <w:rFonts w:ascii="Arial" w:cs="Arial" w:eastAsia="Arial" w:hAnsi="Arial"/>
          <w:sz w:val="17"/>
          <w:szCs w:val="17"/>
          <w:color w:val="auto"/>
        </w:rPr>
        <w:t>Participants elect payroll deductions in whole percentages of compensation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at least 1% and no more than the maximum set by the Administrator, which is 15% absent a different designation. Unless the Administrator specifies otherwise, a participant may make two decreases and one suspension, but no increases, during an offering period. A participant may withdraw all, but not less than all, accumulated payroll deductions no later than one week before the end of the offering period or, if earlier, the purchase period, or within another period the Administrator specifies. Enrollment generally continues for subsequent offering periods unless the participant withdraws or becomes ineligible.</w:t>
      </w:r>
    </w:p>
    <w:p>
      <w:pPr>
        <w:spacing w:after="0" w:line="70"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b w:val="1"/>
          <w:bCs w:val="1"/>
          <w:color w:val="auto"/>
        </w:rPr>
        <w:t xml:space="preserve">Purchase price and limits. </w:t>
      </w:r>
      <w:r>
        <w:rPr>
          <w:rFonts w:ascii="Arial" w:cs="Arial" w:eastAsia="Arial" w:hAnsi="Arial"/>
          <w:sz w:val="17"/>
          <w:szCs w:val="17"/>
          <w:color w:val="auto"/>
        </w:rPr>
        <w:t>The purchase price may not be less than 85% of the lower of the fair market value of a</w:t>
      </w:r>
      <w:r>
        <w:rPr>
          <w:rFonts w:ascii="Arial" w:cs="Arial" w:eastAsia="Arial" w:hAnsi="Arial"/>
          <w:sz w:val="17"/>
          <w:szCs w:val="17"/>
          <w:b w:val="1"/>
          <w:bCs w:val="1"/>
          <w:color w:val="auto"/>
        </w:rPr>
        <w:t xml:space="preserve"> </w:t>
      </w:r>
      <w:r>
        <w:rPr>
          <w:rFonts w:ascii="Arial" w:cs="Arial" w:eastAsia="Arial" w:hAnsi="Arial"/>
          <w:sz w:val="17"/>
          <w:szCs w:val="17"/>
          <w:color w:val="auto"/>
        </w:rPr>
        <w:t>share on the enrollment date and on the purchase date. It is 85% of that lower value if the Administrator does not specify a different price. A participant’s rights to purchase stock under all of our employee stock purchase plans may not accrue at a rate exceeding $25,000 of fair market value, determined at the start of the offering period, for each calendar year in which the rights are outstanding. Participants pay the purchase price with accumulated payroll deductions or other payments permitted by the ESPP or an offering document, and the Company receives no other consideration for granting purchase rights. On October 23, 2026, the closing price of Common Stock as reported on the Exchange was $0.24 per share.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1" w:name="page32"/>
    <w:bookmarkEnd w:id="31"/>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b w:val="1"/>
          <w:bCs w:val="1"/>
          <w:color w:val="auto"/>
        </w:rPr>
        <w:t xml:space="preserve">Adjustments and corporate transactions. </w:t>
      </w:r>
      <w:r>
        <w:rPr>
          <w:rFonts w:ascii="Arial" w:cs="Arial" w:eastAsia="Arial" w:hAnsi="Arial"/>
          <w:sz w:val="17"/>
          <w:szCs w:val="17"/>
          <w:color w:val="auto"/>
        </w:rPr>
        <w:t>If a dividend, recapitalization, Change in Control or similar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event affects the Common Stock, the Administrator will make the equitable adjustments, if any, it determines appropriate to the shares available, the share limits, outstanding rights and the purchase price. In connection with a Change in Control or other unusual or nonrecurring event, the Administrator may, among other actions, provide for the cash-out, replacement, assumption or substitution of outstanding rights; adjust outstanding rights; set an earlier purchase date and end ongoing offering periods; or terminate outstanding rights. No adjustment may be made that would cause the ESPP to fail to satisfy Section 423 of the Code.</w:t>
      </w:r>
    </w:p>
    <w:p>
      <w:pPr>
        <w:spacing w:after="0" w:line="70"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The Administrator may amend, suspend or terminate the ESPP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stockholder approval is required for any amendment that increases the aggregate number, or changes the type, of shares that may be sold under the ESPP (other than adjustments for capitalization changes), that would be treated as the adoption of a new plan under Treasury Regulation Section 1.423-2(c)(4), or that would cause the ESPP to cease to qualify under Section 423 of the Code. No rights may be granted during any suspension or after termination of the ESPP. The ESPP has no fixed expiration date, although the annual evergreen increases end with the increase on January 1, 2033. Purchase rights are not transferable other than by will or the laws of descent and distribution and are exercisable during a participant’s lifetime only by the participant.</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Material United States federal income tax consequences</w:t>
      </w:r>
    </w:p>
    <w:p>
      <w:pPr>
        <w:spacing w:after="0" w:line="193"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6"/>
          <w:szCs w:val="16"/>
          <w:color w:val="auto"/>
        </w:rPr>
        <w:t>The amendment of the denominator is not itself a taxable grant or issuance to any participant. The following is a general summary of the U.S. federal income tax consequences of participating in the ESPP, assuming it qualifies under Section 423 of the Code. It does not address state, local, non-U.S. or employment taxes. Payroll deductions are made from after-tax compensation. A participant recognizes no taxable income when a purchase right is granted or exercised. If the participant disposes of the shares more than two years after the first day of the offering period and more than one year after the purchase date, the participant recognizes ordinary income equal to the lesser of</w:t>
      </w:r>
    </w:p>
    <w:p>
      <w:pPr>
        <w:spacing w:after="0" w:line="3" w:lineRule="exact"/>
        <w:rPr>
          <w:sz w:val="20"/>
          <w:szCs w:val="20"/>
          <w:color w:val="auto"/>
        </w:rPr>
      </w:pPr>
    </w:p>
    <w:p>
      <w:pPr>
        <w:jc w:val="both"/>
        <w:ind w:left="200" w:right="219" w:firstLine="3"/>
        <w:spacing w:after="0" w:line="233" w:lineRule="auto"/>
        <w:tabs>
          <w:tab w:leader="none" w:pos="4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excess of the fair market value of the shares at disposition over the purchase price and (2) the excess of the fair market value of the shares on the first day of the offering period over the purchase price, determined as if the right had been exercised on that day. Any further gain is long-term capital gain. If the participant disposes of the shares before those holding periods are met, the participant recognizes ordinary income equal to the excess of the fair market value of the shares on the purchase date over the purchase price, and any further gain or loss is capital gain or loss. The Company is generally entitled to a deduction only for ordinary income a participant recognizes on a disqualifying disposition, subject to applicable limitations.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New ESPP benefits and existing-ESPP purchase information</w:t>
      </w:r>
    </w:p>
    <w:p>
      <w:pPr>
        <w:spacing w:after="0" w:line="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Participation in the ESPP is voluntary, and the benefits depend on each eligible employee’s elections and on future share prices. Accordingly, the benefits or amounts that any participant or group will receive under the ESPP are not presently determinable. Nonemployee directors are not eligible to participate.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Since it became effective on July 21, 2023 through October 23, 2026, no purchases have occurred under the ESPP.</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Interests, consequences and required vote</w:t>
      </w:r>
    </w:p>
    <w:p>
      <w:pPr>
        <w:spacing w:after="0" w:line="19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Our executive officers, including each person who has served as an executive officer at any time since January 1, 2025, the beginning of our last fiscal year, and who remains eligible to participate in the ESPP, are eligible to participate in the ESPP and may benefit from increased share capacity. Their interests may differ from those of stockholders who are not participants. Our nonemployee directors are not eligible to participate. If approved, the amendment and restatement becomes effective on stockholder approval and will apply to subsequent scheduled evergreen increases, including the first if approval occurs before that increase. It does not add an immediate fixed reserve or retrospectively change a prior increase. If not approved, the ESPP continues under its current terms, shares underlying all outstanding warrants, including pre-funded warrants, remain excluded from fully-diluted shares for ESPP purposes, and any outstanding</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2" w:name="page33"/>
    <w:bookmarkEnd w:id="32"/>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rPr>
          <w:sz w:val="20"/>
          <w:szCs w:val="20"/>
          <w:color w:val="auto"/>
        </w:rPr>
      </w:pPr>
      <w:r>
        <w:rPr>
          <w:rFonts w:ascii="Arial" w:cs="Arial" w:eastAsia="Arial" w:hAnsi="Arial"/>
          <w:sz w:val="17"/>
          <w:szCs w:val="17"/>
          <w:color w:val="auto"/>
        </w:rPr>
        <w:t xml:space="preserve">purchase rights remain outstanding under their terms. Approval or rejection of Proposal 1 or Proposal 2 does not affect this result. The affirmative vote of a majority in voting power of votes cast is required; votes “FOR” must exceed votes “AGAINST.” Abstentions and broker non-votes have no effect on votes cast. Brokers cannot vote on this non-routine proposal without specific instructions. </w:t>
      </w:r>
      <w:r>
        <w:rPr>
          <w:rFonts w:ascii="Arial" w:cs="Arial" w:eastAsia="Arial" w:hAnsi="Arial"/>
          <w:sz w:val="17"/>
          <w:szCs w:val="17"/>
          <w:b w:val="1"/>
          <w:bCs w:val="1"/>
          <w:color w:val="auto"/>
        </w:rPr>
        <w:t>OUR BOARD OF DIRECTORS RECOMMENDS THAT YOU</w:t>
      </w:r>
      <w:r>
        <w:rPr>
          <w:rFonts w:ascii="Arial" w:cs="Arial" w:eastAsia="Arial" w:hAnsi="Arial"/>
          <w:sz w:val="17"/>
          <w:szCs w:val="17"/>
          <w:color w:val="auto"/>
        </w:rPr>
        <w:t xml:space="preserve"> </w:t>
      </w:r>
      <w:r>
        <w:rPr>
          <w:rFonts w:ascii="Arial" w:cs="Arial" w:eastAsia="Arial" w:hAnsi="Arial"/>
          <w:sz w:val="17"/>
          <w:szCs w:val="17"/>
          <w:b w:val="1"/>
          <w:bCs w:val="1"/>
          <w:color w:val="auto"/>
        </w:rPr>
        <w:t>VOTE “FOR” PROPOSAL 3 — THE ESPP PROPOSAL.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3" w:name="page34"/>
    <w:bookmarkEnd w:id="33"/>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4 — THE ADJOURNMENT PROPOSAL</w:t>
      </w:r>
    </w:p>
    <w:p>
      <w:pPr>
        <w:spacing w:after="0" w:line="1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Board asks stockholders to approve one or more adjournments of the Special Meeting, if necessary or appropriate, to solicit additional proxies if the Reverse Stock Split Proposal, the Equity Plan Proposal or the ESPP Proposal lacks sufficient votes. This procedural proposal permits additional solicitation while preserving the three substantive proposals for consideration. It is not conditioned on their approval and does not alter their terms or required votes.</w:t>
      </w:r>
    </w:p>
    <w:p>
      <w:pPr>
        <w:spacing w:after="0" w:line="70"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If approved, the chair may adjourn the meeting within the scope of this authority and applicable law, even if stockholders have voted against a substantive proposal at that time. An adjournment may extend the voting period and increase solicitation costs. The Company will provide any notice, new record date or additional disclosure required by applicable law. Authority to adjourn for lack of quorum or another permissible procedural reason under our bylaws and applicable law is separate from this proposal; its rejection does not repeal those powers. Adjournment may not be used inconsistently with the Board's duties or the stockholders' voting rights.</w:t>
      </w:r>
    </w:p>
    <w:p>
      <w:pPr>
        <w:spacing w:after="0" w:line="69"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7"/>
          <w:szCs w:val="17"/>
          <w:color w:val="auto"/>
        </w:rPr>
        <w:t xml:space="preserve">Approval requires the affirmative vote of a majority in voting power of votes cast; votes “FOR” must exceed votes “AGAINST.” Abstentions and broker non-votes have no effect on votes cast. </w:t>
      </w:r>
      <w:r>
        <w:rPr>
          <w:rFonts w:ascii="Arial" w:cs="Arial" w:eastAsia="Arial" w:hAnsi="Arial"/>
          <w:sz w:val="17"/>
          <w:szCs w:val="17"/>
          <w:b w:val="1"/>
          <w:bCs w:val="1"/>
          <w:color w:val="auto"/>
        </w:rPr>
        <w:t>OUR BOARD OF DIRECTORS</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RECOMMENDS THAT YOU VOTE “FOR” PROPOSAL 4 — THE ADJOURNMENT PROPOSAL.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4" w:name="page35"/>
    <w:bookmarkEnd w:id="34"/>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1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October 23, 2026 by each person known by us to beneficially own more than 5% of our Common Stock, each of our directors, each of our named executive officers and all of our current directors and executive officers as a group. Except as indicated in the footnotes, correspondence may be directed to the Company at its current offices, 130 Vantis Dr., Suite 170, Aliso Viejo, CA 92656.</w:t>
      </w:r>
    </w:p>
    <w:p>
      <w:pPr>
        <w:spacing w:after="0" w:line="70"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Beneficial ownership is determined under Rule 13d-3. Common Stock acquirable within 60 days by exercise or conversion is included in that person's ownership and denominator, but not other persons' denominators. Beneficial-ownership blockers in warrants or convertible securities are reflected where legally applicable; underlying shares blocked beyond the relevant period are not automatically deemed beneficially owned. The Plan evergreen calculation is different and counts qualifying pre-funded warrant shares without reduction for those blockers. Percentage ownership is based on 59,084,675 shares of Common Stock outstanding as of October 23, 2026. Voting and investment power qualifications, shared power and any relationships are stated in the footnotes.</w:t>
      </w:r>
    </w:p>
    <w:p>
      <w:pPr>
        <w:spacing w:after="0" w:line="90" w:lineRule="exact"/>
        <w:rPr>
          <w:sz w:val="20"/>
          <w:szCs w:val="20"/>
          <w:color w:val="auto"/>
        </w:rPr>
      </w:pPr>
    </w:p>
    <w:tbl>
      <w:tblPr>
        <w:tblLayout w:type="fixed"/>
        <w:tblInd w:w="200" w:type="dxa"/>
        <w:tblCellMar>
          <w:top w:w="0" w:type="dxa"/>
          <w:left w:w="0" w:type="dxa"/>
          <w:bottom w:w="0" w:type="dxa"/>
          <w:right w:w="0" w:type="dxa"/>
        </w:tblCellMar>
      </w:tblPr>
      <w:tr>
        <w:trPr>
          <w:trHeight w:val="150"/>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Shares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acquirable within</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Total beneficial</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Percentage</w:t>
            </w:r>
          </w:p>
        </w:tc>
      </w:tr>
      <w:tr>
        <w:trPr>
          <w:trHeight w:val="160"/>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Name and address</w:t>
            </w: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owned</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60 days</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ownership</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of class</w:t>
            </w:r>
          </w:p>
        </w:tc>
      </w:tr>
      <w:tr>
        <w:trPr>
          <w:trHeight w:val="143"/>
        </w:trPr>
        <w:tc>
          <w:tcPr>
            <w:tcW w:w="450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5% holders</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r>
      <w:tr>
        <w:trPr>
          <w:trHeight w:val="150"/>
        </w:trPr>
        <w:tc>
          <w:tcPr>
            <w:tcW w:w="4600" w:type="dxa"/>
            <w:vAlign w:val="bottom"/>
            <w:gridSpan w:val="2"/>
          </w:tcPr>
          <w:p>
            <w:pPr>
              <w:spacing w:after="0" w:line="150" w:lineRule="exact"/>
              <w:rPr>
                <w:sz w:val="20"/>
                <w:szCs w:val="20"/>
                <w:color w:val="auto"/>
              </w:rPr>
            </w:pPr>
            <w:r>
              <w:rPr>
                <w:rFonts w:ascii="Arial" w:cs="Arial" w:eastAsia="Arial" w:hAnsi="Arial"/>
                <w:sz w:val="12"/>
                <w:szCs w:val="12"/>
                <w:color w:val="auto"/>
              </w:rPr>
              <w:t xml:space="preserve">Entities affiliated with Daewoong Co., Ltd. </w:t>
            </w:r>
            <w:r>
              <w:rPr>
                <w:rFonts w:ascii="Arial" w:cs="Arial" w:eastAsia="Arial" w:hAnsi="Arial"/>
                <w:sz w:val="17"/>
                <w:szCs w:val="17"/>
                <w:color w:val="auto"/>
                <w:vertAlign w:val="superscript"/>
              </w:rPr>
              <w:t>(1)</w:t>
            </w:r>
          </w:p>
        </w:tc>
        <w:tc>
          <w:tcPr>
            <w:tcW w:w="720" w:type="dxa"/>
            <w:vAlign w:val="bottom"/>
          </w:tcPr>
          <w:p>
            <w:pPr>
              <w:jc w:val="center"/>
              <w:spacing w:after="0"/>
              <w:rPr>
                <w:sz w:val="20"/>
                <w:szCs w:val="20"/>
                <w:color w:val="auto"/>
              </w:rPr>
            </w:pPr>
            <w:r>
              <w:rPr>
                <w:rFonts w:ascii="Arial" w:cs="Arial" w:eastAsia="Arial" w:hAnsi="Arial"/>
                <w:sz w:val="13"/>
                <w:szCs w:val="13"/>
                <w:color w:val="auto"/>
              </w:rPr>
              <w:t>12,009,737</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11,236,631</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23,246,368</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33.1%</w:t>
            </w:r>
          </w:p>
        </w:tc>
      </w:tr>
      <w:tr>
        <w:trPr>
          <w:trHeight w:val="150"/>
        </w:trPr>
        <w:tc>
          <w:tcPr>
            <w:tcW w:w="460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color w:val="auto"/>
              </w:rPr>
              <w:t xml:space="preserve">Entities affiliated with Pointilist Partners LLC </w:t>
            </w:r>
            <w:r>
              <w:rPr>
                <w:rFonts w:ascii="Arial" w:cs="Arial" w:eastAsia="Arial" w:hAnsi="Arial"/>
                <w:sz w:val="17"/>
                <w:szCs w:val="17"/>
                <w:color w:val="auto"/>
                <w:vertAlign w:val="superscript"/>
              </w:rPr>
              <w:t>(2)</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4,373,789</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1,475,594</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5,849,383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9.7%</w:t>
            </w:r>
          </w:p>
        </w:tc>
      </w:tr>
      <w:tr>
        <w:trPr>
          <w:trHeight w:val="150"/>
        </w:trPr>
        <w:tc>
          <w:tcPr>
            <w:tcW w:w="4600" w:type="dxa"/>
            <w:vAlign w:val="bottom"/>
            <w:gridSpan w:val="2"/>
          </w:tcPr>
          <w:p>
            <w:pPr>
              <w:spacing w:after="0" w:line="150" w:lineRule="exact"/>
              <w:rPr>
                <w:sz w:val="20"/>
                <w:szCs w:val="20"/>
                <w:color w:val="auto"/>
              </w:rPr>
            </w:pPr>
            <w:r>
              <w:rPr>
                <w:rFonts w:ascii="Arial" w:cs="Arial" w:eastAsia="Arial" w:hAnsi="Arial"/>
                <w:sz w:val="12"/>
                <w:szCs w:val="12"/>
                <w:color w:val="auto"/>
              </w:rPr>
              <w:t xml:space="preserve">Entities affiliated with Dauntless Investment Group, LLC </w:t>
            </w:r>
            <w:r>
              <w:rPr>
                <w:rFonts w:ascii="Arial" w:cs="Arial" w:eastAsia="Arial" w:hAnsi="Arial"/>
                <w:sz w:val="17"/>
                <w:szCs w:val="17"/>
                <w:color w:val="auto"/>
                <w:vertAlign w:val="superscript"/>
              </w:rPr>
              <w:t>(3)</w:t>
            </w:r>
          </w:p>
        </w:tc>
        <w:tc>
          <w:tcPr>
            <w:tcW w:w="720" w:type="dxa"/>
            <w:vAlign w:val="bottom"/>
          </w:tcPr>
          <w:p>
            <w:pPr>
              <w:jc w:val="center"/>
              <w:spacing w:after="0"/>
              <w:rPr>
                <w:sz w:val="20"/>
                <w:szCs w:val="20"/>
                <w:color w:val="auto"/>
              </w:rPr>
            </w:pPr>
            <w:r>
              <w:rPr>
                <w:rFonts w:ascii="Arial" w:cs="Arial" w:eastAsia="Arial" w:hAnsi="Arial"/>
                <w:sz w:val="13"/>
                <w:szCs w:val="13"/>
                <w:color w:val="auto"/>
              </w:rPr>
              <w:t>5,903,549</w:t>
            </w: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060" w:type="dxa"/>
            <w:vAlign w:val="bottom"/>
          </w:tcPr>
          <w:p>
            <w:pPr>
              <w:jc w:val="center"/>
              <w:spacing w:after="0"/>
              <w:rPr>
                <w:sz w:val="20"/>
                <w:szCs w:val="20"/>
                <w:color w:val="auto"/>
              </w:rPr>
            </w:pPr>
            <w:r>
              <w:rPr>
                <w:rFonts w:ascii="Arial" w:cs="Arial" w:eastAsia="Arial" w:hAnsi="Arial"/>
                <w:sz w:val="13"/>
                <w:szCs w:val="13"/>
                <w:color w:val="auto"/>
              </w:rPr>
              <w:t>5,903,549</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9.9%</w:t>
            </w:r>
          </w:p>
        </w:tc>
      </w:tr>
      <w:tr>
        <w:trPr>
          <w:trHeight w:val="150"/>
        </w:trPr>
        <w:tc>
          <w:tcPr>
            <w:tcW w:w="460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color w:val="auto"/>
              </w:rPr>
              <w:t xml:space="preserve">Stonepine Capital Management, LLC </w:t>
            </w:r>
            <w:r>
              <w:rPr>
                <w:rFonts w:ascii="Arial" w:cs="Arial" w:eastAsia="Arial" w:hAnsi="Arial"/>
                <w:sz w:val="17"/>
                <w:szCs w:val="17"/>
                <w:color w:val="auto"/>
                <w:vertAlign w:val="superscript"/>
              </w:rPr>
              <w:t>(4)</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6,892,682</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6,892,682</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11.7%</w:t>
            </w:r>
          </w:p>
        </w:tc>
      </w:tr>
      <w:tr>
        <w:trPr>
          <w:trHeight w:val="150"/>
        </w:trPr>
        <w:tc>
          <w:tcPr>
            <w:tcW w:w="4600" w:type="dxa"/>
            <w:vAlign w:val="bottom"/>
            <w:gridSpan w:val="2"/>
          </w:tcPr>
          <w:p>
            <w:pPr>
              <w:spacing w:after="0" w:line="150" w:lineRule="exact"/>
              <w:rPr>
                <w:sz w:val="20"/>
                <w:szCs w:val="20"/>
                <w:color w:val="auto"/>
              </w:rPr>
            </w:pPr>
            <w:r>
              <w:rPr>
                <w:rFonts w:ascii="Arial" w:cs="Arial" w:eastAsia="Arial" w:hAnsi="Arial"/>
                <w:sz w:val="12"/>
                <w:szCs w:val="12"/>
                <w:color w:val="auto"/>
              </w:rPr>
              <w:t xml:space="preserve">Timothy P. Lynch </w:t>
            </w:r>
            <w:r>
              <w:rPr>
                <w:rFonts w:ascii="Arial" w:cs="Arial" w:eastAsia="Arial" w:hAnsi="Arial"/>
                <w:sz w:val="17"/>
                <w:szCs w:val="17"/>
                <w:color w:val="auto"/>
                <w:vertAlign w:val="superscript"/>
              </w:rPr>
              <w:t>(5)</w:t>
            </w:r>
          </w:p>
        </w:tc>
        <w:tc>
          <w:tcPr>
            <w:tcW w:w="720" w:type="dxa"/>
            <w:vAlign w:val="bottom"/>
          </w:tcPr>
          <w:p>
            <w:pPr>
              <w:jc w:val="center"/>
              <w:spacing w:after="0"/>
              <w:rPr>
                <w:sz w:val="20"/>
                <w:szCs w:val="20"/>
                <w:color w:val="auto"/>
              </w:rPr>
            </w:pPr>
            <w:r>
              <w:rPr>
                <w:rFonts w:ascii="Arial" w:cs="Arial" w:eastAsia="Arial" w:hAnsi="Arial"/>
                <w:sz w:val="13"/>
                <w:szCs w:val="13"/>
                <w:color w:val="auto"/>
              </w:rPr>
              <w:t>6,500,000</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7,500,000</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12.5%</w:t>
            </w:r>
          </w:p>
        </w:tc>
      </w:tr>
      <w:tr>
        <w:trPr>
          <w:trHeight w:val="150"/>
        </w:trPr>
        <w:tc>
          <w:tcPr>
            <w:tcW w:w="460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b w:val="1"/>
                <w:bCs w:val="1"/>
                <w:color w:val="auto"/>
              </w:rPr>
              <w:t xml:space="preserve">Directors and named executive officers </w:t>
            </w:r>
            <w:r>
              <w:rPr>
                <w:rFonts w:ascii="Arial" w:cs="Arial" w:eastAsia="Arial" w:hAnsi="Arial"/>
                <w:sz w:val="17"/>
                <w:szCs w:val="17"/>
                <w:b w:val="1"/>
                <w:bCs w:val="1"/>
                <w:color w:val="auto"/>
                <w:vertAlign w:val="superscript"/>
              </w:rPr>
              <w:t>(6)</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50"/>
        </w:trPr>
        <w:tc>
          <w:tcPr>
            <w:tcW w:w="4600" w:type="dxa"/>
            <w:vAlign w:val="bottom"/>
            <w:gridSpan w:val="2"/>
          </w:tcPr>
          <w:p>
            <w:pPr>
              <w:spacing w:after="0" w:line="150" w:lineRule="exact"/>
              <w:rPr>
                <w:sz w:val="20"/>
                <w:szCs w:val="20"/>
                <w:color w:val="auto"/>
              </w:rPr>
            </w:pPr>
            <w:r>
              <w:rPr>
                <w:rFonts w:ascii="Arial" w:cs="Arial" w:eastAsia="Arial" w:hAnsi="Arial"/>
                <w:sz w:val="12"/>
                <w:szCs w:val="12"/>
                <w:color w:val="auto"/>
              </w:rPr>
              <w:t xml:space="preserve">Jost Fischer </w:t>
            </w:r>
            <w:r>
              <w:rPr>
                <w:rFonts w:ascii="Arial" w:cs="Arial" w:eastAsia="Arial" w:hAnsi="Arial"/>
                <w:sz w:val="17"/>
                <w:szCs w:val="17"/>
                <w:color w:val="auto"/>
                <w:vertAlign w:val="superscript"/>
              </w:rPr>
              <w:t>(7)</w:t>
            </w:r>
          </w:p>
        </w:tc>
        <w:tc>
          <w:tcPr>
            <w:tcW w:w="720" w:type="dxa"/>
            <w:vAlign w:val="bottom"/>
          </w:tcPr>
          <w:p>
            <w:pPr>
              <w:jc w:val="center"/>
              <w:spacing w:after="0"/>
              <w:rPr>
                <w:sz w:val="20"/>
                <w:szCs w:val="20"/>
                <w:color w:val="auto"/>
              </w:rPr>
            </w:pPr>
            <w:r>
              <w:rPr>
                <w:rFonts w:ascii="Arial" w:cs="Arial" w:eastAsia="Arial" w:hAnsi="Arial"/>
                <w:sz w:val="13"/>
                <w:szCs w:val="13"/>
                <w:color w:val="auto"/>
              </w:rPr>
              <w:t>273,284</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312,323</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585,607</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1.0%</w:t>
            </w:r>
          </w:p>
        </w:tc>
      </w:tr>
      <w:tr>
        <w:trPr>
          <w:trHeight w:val="150"/>
        </w:trPr>
        <w:tc>
          <w:tcPr>
            <w:tcW w:w="460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color w:val="auto"/>
              </w:rPr>
              <w:t xml:space="preserve">Eric Carter </w:t>
            </w:r>
            <w:r>
              <w:rPr>
                <w:rFonts w:ascii="Arial" w:cs="Arial" w:eastAsia="Arial" w:hAnsi="Arial"/>
                <w:sz w:val="17"/>
                <w:szCs w:val="17"/>
                <w:color w:val="auto"/>
                <w:vertAlign w:val="superscript"/>
              </w:rPr>
              <w:t>(8)</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311,793</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311,793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150"/>
        </w:trPr>
        <w:tc>
          <w:tcPr>
            <w:tcW w:w="4600" w:type="dxa"/>
            <w:vAlign w:val="bottom"/>
            <w:gridSpan w:val="2"/>
          </w:tcPr>
          <w:p>
            <w:pPr>
              <w:spacing w:after="0" w:line="150" w:lineRule="exact"/>
              <w:rPr>
                <w:sz w:val="20"/>
                <w:szCs w:val="20"/>
                <w:color w:val="auto"/>
              </w:rPr>
            </w:pPr>
            <w:r>
              <w:rPr>
                <w:rFonts w:ascii="Arial" w:cs="Arial" w:eastAsia="Arial" w:hAnsi="Arial"/>
                <w:sz w:val="12"/>
                <w:szCs w:val="12"/>
                <w:color w:val="auto"/>
              </w:rPr>
              <w:t xml:space="preserve">Robert Palmisano </w:t>
            </w:r>
            <w:r>
              <w:rPr>
                <w:rFonts w:ascii="Arial" w:cs="Arial" w:eastAsia="Arial" w:hAnsi="Arial"/>
                <w:sz w:val="17"/>
                <w:szCs w:val="17"/>
                <w:color w:val="auto"/>
                <w:vertAlign w:val="superscript"/>
              </w:rPr>
              <w:t>(9)</w:t>
            </w:r>
          </w:p>
        </w:tc>
        <w:tc>
          <w:tcPr>
            <w:tcW w:w="720" w:type="dxa"/>
            <w:vAlign w:val="bottom"/>
          </w:tcPr>
          <w:p>
            <w:pPr>
              <w:jc w:val="center"/>
              <w:spacing w:after="0"/>
              <w:rPr>
                <w:sz w:val="20"/>
                <w:szCs w:val="20"/>
                <w:color w:val="auto"/>
              </w:rPr>
            </w:pPr>
            <w:r>
              <w:rPr>
                <w:rFonts w:ascii="Arial" w:cs="Arial" w:eastAsia="Arial" w:hAnsi="Arial"/>
                <w:sz w:val="13"/>
                <w:szCs w:val="13"/>
                <w:color w:val="auto"/>
              </w:rPr>
              <w:t>31,459</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311,447</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342,906</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150"/>
        </w:trPr>
        <w:tc>
          <w:tcPr>
            <w:tcW w:w="460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color w:val="auto"/>
              </w:rPr>
              <w:t xml:space="preserve">Shelley Thunen </w:t>
            </w:r>
            <w:r>
              <w:rPr>
                <w:rFonts w:ascii="Arial" w:cs="Arial" w:eastAsia="Arial" w:hAnsi="Arial"/>
                <w:sz w:val="17"/>
                <w:szCs w:val="17"/>
                <w:color w:val="auto"/>
                <w:vertAlign w:val="superscript"/>
              </w:rPr>
              <w:t>(10)</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311,447</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311,447</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150"/>
        </w:trPr>
        <w:tc>
          <w:tcPr>
            <w:tcW w:w="4600" w:type="dxa"/>
            <w:vAlign w:val="bottom"/>
            <w:gridSpan w:val="2"/>
          </w:tcPr>
          <w:p>
            <w:pPr>
              <w:spacing w:after="0" w:line="150" w:lineRule="exact"/>
              <w:rPr>
                <w:sz w:val="20"/>
                <w:szCs w:val="20"/>
                <w:color w:val="auto"/>
              </w:rPr>
            </w:pPr>
            <w:r>
              <w:rPr>
                <w:rFonts w:ascii="Arial" w:cs="Arial" w:eastAsia="Arial" w:hAnsi="Arial"/>
                <w:sz w:val="12"/>
                <w:szCs w:val="12"/>
                <w:color w:val="auto"/>
              </w:rPr>
              <w:t xml:space="preserve">Marc Forth </w:t>
            </w:r>
            <w:r>
              <w:rPr>
                <w:rFonts w:ascii="Arial" w:cs="Arial" w:eastAsia="Arial" w:hAnsi="Arial"/>
                <w:sz w:val="17"/>
                <w:szCs w:val="17"/>
                <w:color w:val="auto"/>
                <w:vertAlign w:val="superscript"/>
              </w:rPr>
              <w:t>(11)</w:t>
            </w:r>
          </w:p>
        </w:tc>
        <w:tc>
          <w:tcPr>
            <w:tcW w:w="720" w:type="dxa"/>
            <w:vAlign w:val="bottom"/>
          </w:tcPr>
          <w:p>
            <w:pPr>
              <w:jc w:val="center"/>
              <w:spacing w:after="0"/>
              <w:rPr>
                <w:sz w:val="20"/>
                <w:szCs w:val="20"/>
                <w:color w:val="auto"/>
              </w:rPr>
            </w:pPr>
            <w:r>
              <w:rPr>
                <w:rFonts w:ascii="Arial" w:cs="Arial" w:eastAsia="Arial" w:hAnsi="Arial"/>
                <w:sz w:val="13"/>
                <w:szCs w:val="13"/>
                <w:color w:val="auto"/>
              </w:rPr>
              <w:t>972</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180,884</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181,856</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150"/>
        </w:trPr>
        <w:tc>
          <w:tcPr>
            <w:tcW w:w="460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color w:val="auto"/>
              </w:rPr>
              <w:t xml:space="preserve">Chad Oh </w:t>
            </w:r>
            <w:r>
              <w:rPr>
                <w:rFonts w:ascii="Arial" w:cs="Arial" w:eastAsia="Arial" w:hAnsi="Arial"/>
                <w:sz w:val="17"/>
                <w:szCs w:val="17"/>
                <w:color w:val="auto"/>
                <w:vertAlign w:val="superscript"/>
              </w:rPr>
              <w:t>(12)</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343,931</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344,280</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150"/>
        </w:trPr>
        <w:tc>
          <w:tcPr>
            <w:tcW w:w="4600" w:type="dxa"/>
            <w:vAlign w:val="bottom"/>
            <w:gridSpan w:val="2"/>
          </w:tcPr>
          <w:p>
            <w:pPr>
              <w:spacing w:after="0" w:line="150" w:lineRule="exact"/>
              <w:rPr>
                <w:sz w:val="20"/>
                <w:szCs w:val="20"/>
                <w:color w:val="auto"/>
              </w:rPr>
            </w:pPr>
            <w:r>
              <w:rPr>
                <w:rFonts w:ascii="Arial" w:cs="Arial" w:eastAsia="Arial" w:hAnsi="Arial"/>
                <w:sz w:val="12"/>
                <w:szCs w:val="12"/>
                <w:color w:val="auto"/>
              </w:rPr>
              <w:t xml:space="preserve">Alex Wilson </w:t>
            </w:r>
            <w:r>
              <w:rPr>
                <w:rFonts w:ascii="Arial" w:cs="Arial" w:eastAsia="Arial" w:hAnsi="Arial"/>
                <w:sz w:val="17"/>
                <w:szCs w:val="17"/>
                <w:color w:val="auto"/>
                <w:vertAlign w:val="superscript"/>
              </w:rPr>
              <w:t>(13)</w:t>
            </w:r>
          </w:p>
        </w:tc>
        <w:tc>
          <w:tcPr>
            <w:tcW w:w="720" w:type="dxa"/>
            <w:vAlign w:val="bottom"/>
          </w:tcPr>
          <w:p>
            <w:pPr>
              <w:jc w:val="center"/>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342,263</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342,546</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150"/>
        </w:trPr>
        <w:tc>
          <w:tcPr>
            <w:tcW w:w="460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color w:val="auto"/>
              </w:rPr>
              <w:t xml:space="preserve">Jennifer Sy </w:t>
            </w:r>
            <w:r>
              <w:rPr>
                <w:rFonts w:ascii="Arial" w:cs="Arial" w:eastAsia="Arial" w:hAnsi="Arial"/>
                <w:sz w:val="17"/>
                <w:szCs w:val="17"/>
                <w:color w:val="auto"/>
                <w:vertAlign w:val="superscript"/>
              </w:rPr>
              <w:t>(14)</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233,460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233,460</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150"/>
        </w:trPr>
        <w:tc>
          <w:tcPr>
            <w:tcW w:w="4600" w:type="dxa"/>
            <w:vAlign w:val="bottom"/>
            <w:gridSpan w:val="2"/>
          </w:tcPr>
          <w:p>
            <w:pPr>
              <w:spacing w:after="0" w:line="150" w:lineRule="exact"/>
              <w:rPr>
                <w:sz w:val="20"/>
                <w:szCs w:val="20"/>
                <w:color w:val="auto"/>
              </w:rPr>
            </w:pPr>
            <w:r>
              <w:rPr>
                <w:rFonts w:ascii="Arial" w:cs="Arial" w:eastAsia="Arial" w:hAnsi="Arial"/>
                <w:sz w:val="12"/>
                <w:szCs w:val="12"/>
                <w:color w:val="auto"/>
              </w:rPr>
              <w:t xml:space="preserve">Robert Bancroft </w:t>
            </w:r>
            <w:r>
              <w:rPr>
                <w:rFonts w:ascii="Arial" w:cs="Arial" w:eastAsia="Arial" w:hAnsi="Arial"/>
                <w:sz w:val="17"/>
                <w:szCs w:val="17"/>
                <w:color w:val="auto"/>
                <w:vertAlign w:val="superscript"/>
              </w:rPr>
              <w:t>(15)</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1120" w:type="dxa"/>
            <w:vAlign w:val="bottom"/>
          </w:tcPr>
          <w:p>
            <w:pPr>
              <w:jc w:val="center"/>
              <w:spacing w:after="0"/>
              <w:rPr>
                <w:sz w:val="20"/>
                <w:szCs w:val="20"/>
                <w:color w:val="auto"/>
              </w:rPr>
            </w:pPr>
            <w:r>
              <w:rPr>
                <w:rFonts w:ascii="Arial" w:cs="Arial" w:eastAsia="Arial" w:hAnsi="Arial"/>
                <w:sz w:val="13"/>
                <w:szCs w:val="13"/>
                <w:color w:val="auto"/>
              </w:rPr>
              <w:t>59,033</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59,033</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150"/>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Seongsoo Park</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150"/>
        </w:trPr>
        <w:tc>
          <w:tcPr>
            <w:tcW w:w="4600" w:type="dxa"/>
            <w:vAlign w:val="bottom"/>
            <w:gridSpan w:val="2"/>
          </w:tcPr>
          <w:p>
            <w:pPr>
              <w:spacing w:after="0" w:line="150" w:lineRule="exact"/>
              <w:rPr>
                <w:sz w:val="20"/>
                <w:szCs w:val="20"/>
                <w:color w:val="auto"/>
              </w:rPr>
            </w:pPr>
            <w:r>
              <w:rPr>
                <w:rFonts w:ascii="Arial" w:cs="Arial" w:eastAsia="Arial" w:hAnsi="Arial"/>
                <w:sz w:val="12"/>
                <w:szCs w:val="12"/>
                <w:color w:val="auto"/>
              </w:rPr>
              <w:t xml:space="preserve">John Bencich </w:t>
            </w:r>
            <w:r>
              <w:rPr>
                <w:rFonts w:ascii="Arial" w:cs="Arial" w:eastAsia="Arial" w:hAnsi="Arial"/>
                <w:sz w:val="17"/>
                <w:szCs w:val="17"/>
                <w:color w:val="auto"/>
                <w:vertAlign w:val="superscript"/>
              </w:rPr>
              <w:t>(16)</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1120" w:type="dxa"/>
            <w:vAlign w:val="bottom"/>
          </w:tcPr>
          <w:p>
            <w:pPr>
              <w:jc w:val="center"/>
              <w:spacing w:after="0"/>
              <w:rPr>
                <w:sz w:val="20"/>
                <w:szCs w:val="20"/>
                <w:color w:val="auto"/>
              </w:rPr>
            </w:pPr>
            <w:r>
              <w:rPr>
                <w:rFonts w:ascii="Arial" w:cs="Arial" w:eastAsia="Arial" w:hAnsi="Arial"/>
                <w:sz w:val="13"/>
                <w:szCs w:val="13"/>
                <w:color w:val="auto"/>
              </w:rPr>
              <w:t>188,679</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188,679</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150"/>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All directors and executive officers as a group (11 persons)</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306,347</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2,595,260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2,901,607</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4.7%</w:t>
            </w:r>
          </w:p>
        </w:tc>
      </w:tr>
    </w:tbl>
    <w:p>
      <w:pPr>
        <w:spacing w:after="0" w:line="8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Represents beneficial ownership of less than one percent.</w:t>
      </w:r>
    </w:p>
    <w:p>
      <w:pPr>
        <w:spacing w:after="0" w:line="93" w:lineRule="exact"/>
        <w:rPr>
          <w:sz w:val="20"/>
          <w:szCs w:val="20"/>
          <w:color w:val="auto"/>
        </w:rPr>
      </w:pPr>
    </w:p>
    <w:p>
      <w:pPr>
        <w:jc w:val="both"/>
        <w:ind w:left="200" w:right="219" w:firstLine="3"/>
        <w:spacing w:after="0" w:line="236" w:lineRule="auto"/>
        <w:tabs>
          <w:tab w:leader="none" w:pos="454"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solely on a Schedule 13D filed by Daewoong Co., Ltd. (“Daewoong”) on January 29, 2026. Represents (i) 12,009,737 shares of Common Stock and (ii) 11,236,631 shares of Common Stock underlying pre-funded warrants that are exercisable within 60 days of October 23, 2026. Excludes (a) 8,000,000 shares of Common Stock underlying warrants with an exercise price of $1.0939 per share and (b) shares of Common Stock issuable upon conversion of the $1.5 million New Convertible Note, in each case, that are not exercisable or convertible within 60 days of October 23, 2026 or are subject to a beneficial ownership limitation. The address of Daewoong is 244 Galmachi-ro, Jungwon-gu, Seongnam-si, Gyeonggi-do, M5, 13211, Seoul, Republic of Korea.</w:t>
      </w:r>
    </w:p>
    <w:p>
      <w:pPr>
        <w:spacing w:after="0" w:line="69" w:lineRule="exact"/>
        <w:rPr>
          <w:rFonts w:ascii="Arial" w:cs="Arial" w:eastAsia="Arial" w:hAnsi="Arial"/>
          <w:sz w:val="17"/>
          <w:szCs w:val="17"/>
          <w:color w:val="auto"/>
        </w:rPr>
      </w:pPr>
    </w:p>
    <w:p>
      <w:pPr>
        <w:jc w:val="both"/>
        <w:ind w:left="200" w:right="219" w:firstLine="3"/>
        <w:spacing w:after="0" w:line="250" w:lineRule="auto"/>
        <w:tabs>
          <w:tab w:leader="none" w:pos="4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solely on information available to us as of November 12, 2025 and July 15, 2026 in connection with our November 2025 and July 2026 financings, respectively. Represents (i) 4,373,789 shares of Common Stock and (ii) 1,475,594 shares of Common Stock underlying pre-funded warrants that are exercisable within 60 days of October 23, 2026. Excludes (a) 5,106,236 shares of Common Stock underlying pre-funded warrants and true-up warrants,</w:t>
      </w:r>
    </w:p>
    <w:p>
      <w:pPr>
        <w:jc w:val="both"/>
        <w:ind w:left="200" w:right="219"/>
        <w:spacing w:after="0" w:line="237" w:lineRule="auto"/>
        <w:rPr>
          <w:rFonts w:ascii="Arial" w:cs="Arial" w:eastAsia="Arial" w:hAnsi="Arial"/>
          <w:sz w:val="16"/>
          <w:szCs w:val="16"/>
          <w:color w:val="auto"/>
        </w:rPr>
      </w:pPr>
      <w:r>
        <w:rPr>
          <w:rFonts w:ascii="Arial" w:cs="Arial" w:eastAsia="Arial" w:hAnsi="Arial"/>
          <w:sz w:val="17"/>
          <w:szCs w:val="17"/>
          <w:color w:val="auto"/>
        </w:rPr>
        <w:t>(b) 3,290,915 shares of Common Stock underlying warrants and (c) 4,656,938 shares of Common Stock underlying milestone warrants, in each case, that are subject to a beneficial ownership limitation. The address of Pointilist Partners LLC is 6222 Indianwood Trail, Bloomfield Hills, MI 48301.</w:t>
      </w:r>
    </w:p>
    <w:p>
      <w:pPr>
        <w:spacing w:after="0" w:line="68" w:lineRule="exact"/>
        <w:rPr>
          <w:rFonts w:ascii="Arial" w:cs="Arial" w:eastAsia="Arial" w:hAnsi="Arial"/>
          <w:sz w:val="16"/>
          <w:szCs w:val="16"/>
          <w:color w:val="auto"/>
        </w:rPr>
      </w:pPr>
    </w:p>
    <w:p>
      <w:pPr>
        <w:ind w:left="200" w:right="219" w:firstLine="3"/>
        <w:spacing w:after="0" w:line="262" w:lineRule="auto"/>
        <w:tabs>
          <w:tab w:leader="none" w:pos="462"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solely on information available to us as of November 12, 2025 and July 15, 2026 in connection with our November 2025 and July 2026 financings, respectively. Represents (i) 5,903,549 shares of</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5" w:name="page36"/>
    <w:bookmarkEnd w:id="35"/>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Common Stock. Excludes (a) 3,290,914 shares of Common Stock underlying warrants and (b) 18,627,756 shares of Common Stock underlying milestone warrants. The address of Dauntless Investment Group, LLC is 8567 Hummingbird, Commerce Township, MI 48382.</w:t>
      </w:r>
    </w:p>
    <w:p>
      <w:pPr>
        <w:spacing w:after="0" w:line="63" w:lineRule="exact"/>
        <w:rPr>
          <w:sz w:val="20"/>
          <w:szCs w:val="20"/>
          <w:color w:val="auto"/>
        </w:rPr>
      </w:pPr>
    </w:p>
    <w:p>
      <w:pPr>
        <w:jc w:val="both"/>
        <w:ind w:left="200" w:right="219" w:firstLine="3"/>
        <w:spacing w:after="0" w:line="269" w:lineRule="auto"/>
        <w:tabs>
          <w:tab w:leader="none" w:pos="471"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solely on a Schedule 13G filed by Stonepine Capital Management, LLC on July 21, 2026. Represents 6,892,682 shares of Common Stock. Excludes 6,000,000 shares of Common Stock underlying milestone warrants. The address of Stonepine Capital Management, LLC is 2900 NW Clearwater Drive, Suite 100-11, Bend OR 97703.</w:t>
      </w:r>
    </w:p>
    <w:p>
      <w:pPr>
        <w:spacing w:after="0" w:line="45" w:lineRule="exact"/>
        <w:rPr>
          <w:rFonts w:ascii="Arial" w:cs="Arial" w:eastAsia="Arial" w:hAnsi="Arial"/>
          <w:sz w:val="16"/>
          <w:szCs w:val="16"/>
          <w:color w:val="auto"/>
        </w:rPr>
      </w:pPr>
    </w:p>
    <w:p>
      <w:pPr>
        <w:jc w:val="both"/>
        <w:ind w:left="200" w:right="219" w:firstLine="3"/>
        <w:spacing w:after="0" w:line="241" w:lineRule="auto"/>
        <w:tabs>
          <w:tab w:leader="none" w:pos="4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solely on a Schedule 13G filed by Timothy P. Lynch on August 21, 2026. Represents (i) 6,500,000 shares of Common Stock and (ii) 1,000,000 shares of Common Stock underlying pre-funded warrants that are exercisable within 60 days of October 23, 2026. Excludes 6,000,000 shares of Common Stock underlying milestone warrants. The address of Timothy P. Lynch is 70 SW Century Dr, STE 100 PMB 1257 Bend, OR 97702.</w:t>
      </w:r>
    </w:p>
    <w:p>
      <w:pPr>
        <w:spacing w:after="0" w:line="66" w:lineRule="exact"/>
        <w:rPr>
          <w:rFonts w:ascii="Arial" w:cs="Arial" w:eastAsia="Arial" w:hAnsi="Arial"/>
          <w:sz w:val="17"/>
          <w:szCs w:val="17"/>
          <w:color w:val="auto"/>
        </w:rPr>
      </w:pPr>
    </w:p>
    <w:p>
      <w:pPr>
        <w:jc w:val="both"/>
        <w:ind w:left="200" w:right="219" w:firstLine="3"/>
        <w:spacing w:after="0" w:line="241" w:lineRule="auto"/>
        <w:tabs>
          <w:tab w:leader="none" w:pos="462"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Unless otherwise indicated, the address of each individual listed in the table is c/o AEON Biopharma, Inc., 130 Vantis Dr., Suite 170, Aliso Viejo, CA 92656. Except as otherwise indicated and subject to applicable community property laws, we believe, based on information furnished to us, that the persons named in the table have sole voting and investment power with respect to all shares shown as beneficially owned by them.</w:t>
      </w:r>
    </w:p>
    <w:p>
      <w:pPr>
        <w:spacing w:after="0" w:line="66" w:lineRule="exact"/>
        <w:rPr>
          <w:rFonts w:ascii="Arial" w:cs="Arial" w:eastAsia="Arial" w:hAnsi="Arial"/>
          <w:sz w:val="17"/>
          <w:szCs w:val="17"/>
          <w:color w:val="auto"/>
        </w:rPr>
      </w:pPr>
    </w:p>
    <w:p>
      <w:pPr>
        <w:jc w:val="both"/>
        <w:ind w:left="200" w:right="219" w:firstLine="3"/>
        <w:spacing w:after="0" w:line="246" w:lineRule="auto"/>
        <w:tabs>
          <w:tab w:leader="none" w:pos="4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(i) 273,284 shares of Common Stock, (ii) 3,181 shares underlying options to purchase Common Stock that are exercisable within 60 days of October 23, 2026 and (iii) 309,142 shares underlying restricted stock units (“RSUs”) that have vested or will vest within 60 days of October 23, 2026.</w:t>
      </w:r>
    </w:p>
    <w:p>
      <w:pPr>
        <w:spacing w:after="0" w:line="62" w:lineRule="exact"/>
        <w:rPr>
          <w:rFonts w:ascii="Arial" w:cs="Arial" w:eastAsia="Arial" w:hAnsi="Arial"/>
          <w:sz w:val="17"/>
          <w:szCs w:val="17"/>
          <w:color w:val="auto"/>
        </w:rPr>
      </w:pPr>
    </w:p>
    <w:p>
      <w:pPr>
        <w:jc w:val="both"/>
        <w:ind w:left="200" w:right="219" w:firstLine="3"/>
        <w:spacing w:after="0" w:line="246" w:lineRule="auto"/>
        <w:tabs>
          <w:tab w:leader="none" w:pos="461"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(i) 2,651 shares underlying options to purchase Common Stock that are exercisable within 60 days of October 23, 2026 and (ii) 309,142 shares underlying RSUs that have vested or will vest within 60 days of October 23, 2026.</w:t>
      </w:r>
    </w:p>
    <w:p>
      <w:pPr>
        <w:spacing w:after="0" w:line="62" w:lineRule="exact"/>
        <w:rPr>
          <w:rFonts w:ascii="Arial" w:cs="Arial" w:eastAsia="Arial" w:hAnsi="Arial"/>
          <w:sz w:val="17"/>
          <w:szCs w:val="17"/>
          <w:color w:val="auto"/>
        </w:rPr>
      </w:pPr>
    </w:p>
    <w:p>
      <w:pPr>
        <w:jc w:val="both"/>
        <w:ind w:left="200" w:right="219" w:firstLine="3"/>
        <w:spacing w:after="0" w:line="241" w:lineRule="auto"/>
        <w:tabs>
          <w:tab w:leader="none" w:pos="4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(i) 31,459 shares of Common Stock, (ii) 2,305 shares underlying options to purchase Common Stock that are exercisable within 60 days of October 23, 2026 and (iii) 309,142 shares underlying RSUs that have vested or will vest within 60 days of October 23, 2026. The address of Mr. Palmisano is 300 SE 2nd Street, Suite 600, Fort Lauderdale, FL 33301.</w:t>
      </w:r>
    </w:p>
    <w:p>
      <w:pPr>
        <w:spacing w:after="0" w:line="66" w:lineRule="exact"/>
        <w:rPr>
          <w:rFonts w:ascii="Arial" w:cs="Arial" w:eastAsia="Arial" w:hAnsi="Arial"/>
          <w:sz w:val="17"/>
          <w:szCs w:val="17"/>
          <w:color w:val="auto"/>
        </w:rPr>
      </w:pPr>
    </w:p>
    <w:p>
      <w:pPr>
        <w:jc w:val="both"/>
        <w:ind w:left="200" w:right="219" w:firstLine="3"/>
        <w:spacing w:after="0" w:line="246" w:lineRule="auto"/>
        <w:tabs>
          <w:tab w:leader="none" w:pos="548"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(i) 2,305 shares underlying options to purchase Common Stock that are exercisable within 60 days of October 23, 2026 and (ii) 309,142 shares underlying RSUs that have vested or will vest within 60 days of October 23, 2026.</w:t>
      </w:r>
    </w:p>
    <w:p>
      <w:pPr>
        <w:spacing w:after="0" w:line="62" w:lineRule="exact"/>
        <w:rPr>
          <w:rFonts w:ascii="Arial" w:cs="Arial" w:eastAsia="Arial" w:hAnsi="Arial"/>
          <w:sz w:val="17"/>
          <w:szCs w:val="17"/>
          <w:color w:val="auto"/>
        </w:rPr>
      </w:pPr>
    </w:p>
    <w:p>
      <w:pPr>
        <w:jc w:val="both"/>
        <w:ind w:left="200" w:right="219" w:firstLine="3"/>
        <w:spacing w:after="0" w:line="246" w:lineRule="auto"/>
        <w:tabs>
          <w:tab w:leader="none" w:pos="5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(i) 972 shares of Common Stock, (ii) 48,946 shares underlying options to purchase Common Stock that are exercisable within 60 days of October 23, 2026 and (iii) 131,938 shares underlying RSUs that have vested or will vest within 60 days of October 23, 2026.</w:t>
      </w:r>
    </w:p>
    <w:p>
      <w:pPr>
        <w:spacing w:after="0" w:line="62" w:lineRule="exact"/>
        <w:rPr>
          <w:rFonts w:ascii="Arial" w:cs="Arial" w:eastAsia="Arial" w:hAnsi="Arial"/>
          <w:sz w:val="17"/>
          <w:szCs w:val="17"/>
          <w:color w:val="auto"/>
        </w:rPr>
      </w:pPr>
    </w:p>
    <w:p>
      <w:pPr>
        <w:jc w:val="both"/>
        <w:ind w:left="200" w:right="219" w:firstLine="3"/>
        <w:spacing w:after="0" w:line="246" w:lineRule="auto"/>
        <w:tabs>
          <w:tab w:leader="none" w:pos="549"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(i) 349 shares of Common Stock, (ii) 11,346 shares underlying options to purchase Common Stock that are exercisable within 60 days of October 23, 2026 and (iii) 332,585 shares underlying RSUs that have vested or will vest within 60 days of October 23, 2026.</w:t>
      </w:r>
    </w:p>
    <w:p>
      <w:pPr>
        <w:spacing w:after="0" w:line="62" w:lineRule="exact"/>
        <w:rPr>
          <w:rFonts w:ascii="Arial" w:cs="Arial" w:eastAsia="Arial" w:hAnsi="Arial"/>
          <w:sz w:val="17"/>
          <w:szCs w:val="17"/>
          <w:color w:val="auto"/>
        </w:rPr>
      </w:pPr>
    </w:p>
    <w:p>
      <w:pPr>
        <w:jc w:val="both"/>
        <w:ind w:left="200" w:right="219" w:firstLine="3"/>
        <w:spacing w:after="0" w:line="246" w:lineRule="auto"/>
        <w:tabs>
          <w:tab w:leader="none" w:pos="5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(i) 283 shares of Common Stock, (ii) 9,977 shares underlying options to purchase Common Stock that are exercisable within 60 days of October 23, 2026 and (iii) 332,286 shares underlying RSUs that have vested or will vest within 60 days of October 23, 2026.</w:t>
      </w:r>
    </w:p>
    <w:p>
      <w:pPr>
        <w:spacing w:after="0" w:line="62" w:lineRule="exact"/>
        <w:rPr>
          <w:rFonts w:ascii="Arial" w:cs="Arial" w:eastAsia="Arial" w:hAnsi="Arial"/>
          <w:sz w:val="17"/>
          <w:szCs w:val="17"/>
          <w:color w:val="auto"/>
        </w:rPr>
      </w:pPr>
    </w:p>
    <w:p>
      <w:pPr>
        <w:jc w:val="both"/>
        <w:ind w:left="200" w:right="219" w:firstLine="3"/>
        <w:spacing w:after="0" w:line="246" w:lineRule="auto"/>
        <w:tabs>
          <w:tab w:leader="none" w:pos="548"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(i) 1,728 shares underlying options to purchase Common Stock that are exercisable within 60 days of October 23, 2026 and (ii) 231,732 shares underlying RSUs that have vested or will vest within 60 days of October 23, 2026.</w:t>
      </w:r>
    </w:p>
    <w:p>
      <w:pPr>
        <w:spacing w:after="0" w:line="62" w:lineRule="exact"/>
        <w:rPr>
          <w:rFonts w:ascii="Arial" w:cs="Arial" w:eastAsia="Arial" w:hAnsi="Arial"/>
          <w:sz w:val="17"/>
          <w:szCs w:val="17"/>
          <w:color w:val="auto"/>
        </w:rPr>
      </w:pPr>
    </w:p>
    <w:p>
      <w:pPr>
        <w:jc w:val="both"/>
        <w:ind w:left="200" w:right="219" w:firstLine="3"/>
        <w:spacing w:after="0" w:line="246" w:lineRule="auto"/>
        <w:tabs>
          <w:tab w:leader="none" w:pos="5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(i) 14,758 shares underlying options to purchase Common Stock that are exercisable within 60 days of October 23, 2026 and (ii) 44,275 shares underlying RSUs that have vested or will vest within 60 days of October 23, 2026.</w:t>
      </w:r>
    </w:p>
    <w:p>
      <w:pPr>
        <w:spacing w:after="0" w:line="62" w:lineRule="exact"/>
        <w:rPr>
          <w:rFonts w:ascii="Arial" w:cs="Arial" w:eastAsia="Arial" w:hAnsi="Arial"/>
          <w:sz w:val="17"/>
          <w:szCs w:val="17"/>
          <w:color w:val="auto"/>
        </w:rPr>
      </w:pPr>
    </w:p>
    <w:p>
      <w:pPr>
        <w:ind w:left="540" w:hanging="337"/>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188,679 shares underlying RSUs that have vested or will vest within 60 days of October 23, 2026.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6" w:name="page37"/>
    <w:bookmarkEnd w:id="36"/>
    <w:p>
      <w:pPr>
        <w:jc w:val="right"/>
        <w:ind w:right="219"/>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ADDITIONAL INFORMATION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 filings and information availability</w:t>
      </w:r>
    </w:p>
    <w:p>
      <w:pPr>
        <w:spacing w:after="0" w:line="293"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We file reports and proxy statements with the SEC. They are available at www.sec.gov and on our investor relations website at investors.aeonbiopharma.com. Website information is not incorporated into this Proxy Statement merely by referring to a website. Except for any specifically permitted and expressly identified reference required in a compensation footnote, prior filings are not incorporated to supply information required by this Proxy Statement. Required compensation, ownership, Plan and ESPP information is presented here. No financial statements are included because none of the proposals involves a financing, merger or other transaction for which financial information is material.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Stockholder proposals for the next annual meeting</w:t>
      </w:r>
    </w:p>
    <w:p>
      <w:pPr>
        <w:spacing w:after="0" w:line="1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Stockholders who intend to have a proposal considered for inclusion in our proxy materials for presentation at our annual meeting of stockholders to be held in 2027 (the “2027 Annual Meeting”) pursuant to Rule 14a-8 under the Securities Exchange Act of 1934, as amended (the “Exchange Act”), must submit the proposal in writing to our Corporate Secretary at 130 Vantis Dr., Suite 170, Aliso Viejo, CA 92656 not later than December 30, 2026.</w:t>
      </w:r>
    </w:p>
    <w:p>
      <w:pPr>
        <w:spacing w:after="0" w:line="167"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color w:val="auto"/>
        </w:rPr>
        <w:t>Stockholders intending to present a proposal at our 2027 Annual Meeting, but not to include the proposal in our proxy statement, or to nominate a person for election as a director, must comply with the requirements set forth in our bylaws. Our bylaws require, among other things, that our Corporate Secretary receive written notice from the stockholder of record of their intent to present such proposal or nomination not earlier than the 120th day and not later than the 90th day prior to the first anniversary of the preceding year’s annual meeting of stockholders. Therefore, we must receive notice of such a proposal or nomination for the 2027 Annual Meeting no earlier than February 17, 2027 and no later than March 19, 2027. The notice must contain the information required by our bylaws. In the event that the date of the 2027 Annual Meeting is more than 30 days before or more than 60 days after June 17, 2027, then our Corporate Secretary must receive such written notice not later than the 90th day prior to the 2027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176"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We reserve the right to reject, rule out of order or take other appropriate action with respect to any proposal that does not comply with these or other applicable requirements.</w:t>
      </w:r>
    </w:p>
    <w:p>
      <w:pPr>
        <w:spacing w:after="0" w:line="149"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In addition to satisfying the foregoing requirements under our bylaws, to comply with universal proxy rules, stockholders who intend to solicit proxies in support of director nominees other than the Company’s nominees must provide written notice that sets forth the information required by Rule 14a-19 under the Exchange Act. Such written notice must be provided in accordance with Rule 14a-19 no later than April 18, 2027.</w:t>
      </w:r>
    </w:p>
    <w:p>
      <w:pPr>
        <w:spacing w:after="0" w:line="167"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In connection with our solicitation of proxies for our 2027 Annual Meeting, we intend to file a proxy statement and proxy card with the SEC. Stockholders may obtain our proxy statement (and any amendments and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7" w:name="page38"/>
    <w:bookmarkEnd w:id="37"/>
    <w:p>
      <w:pPr>
        <w:spacing w:after="0" w:line="13" w:lineRule="exact"/>
        <w:rPr>
          <w:sz w:val="20"/>
          <w:szCs w:val="20"/>
          <w:color w:val="auto"/>
        </w:rPr>
      </w:pPr>
    </w:p>
    <w:p>
      <w:pPr>
        <w:ind w:left="75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supplements thereto) and other documents as and when filed with the SEC without charge from the SEC’s website at www.sec.gov.</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matters</w:t>
      </w:r>
    </w:p>
    <w:p>
      <w:pPr>
        <w:spacing w:after="0" w:line="2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Board knows of no other business to be presented. Under our bylaws, only business specified in the Special Meeting notice may be conducted, together with proper procedural matters. If a matter properly incident to the conduct of the meeting arises, proxy holders will act within the discretion permitted by Rule 14a-4. The proxy card does not provide an unrestricted authorization for undisclosed substantive business.</w:t>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Order of the Board of Directors:</w:t>
      </w: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 Robert Bancroft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5715</wp:posOffset>
            </wp:positionV>
            <wp:extent cx="2569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921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Robert Bancroft</w:t>
      </w:r>
    </w:p>
    <w:p>
      <w:pPr>
        <w:ind w:left="20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3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Aliso Viejo, California</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October 26, 2026</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9"/>
        <w:spacing w:after="0"/>
        <w:rPr>
          <w:sz w:val="20"/>
          <w:szCs w:val="20"/>
          <w:color w:val="auto"/>
        </w:rPr>
      </w:pPr>
      <w:r>
        <w:rPr>
          <w:rFonts w:ascii="Arial" w:cs="Arial" w:eastAsia="Arial" w:hAnsi="Arial"/>
          <w:sz w:val="17"/>
          <w:szCs w:val="17"/>
          <w:b w:val="1"/>
          <w:bCs w:val="1"/>
          <w:u w:val="single" w:color="auto"/>
          <w:color w:val="auto"/>
        </w:rPr>
        <w:t>APPENDIX A</w:t>
      </w:r>
    </w:p>
    <w:p>
      <w:pPr>
        <w:spacing w:after="0" w:line="255"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CERTIFICATE OF AMENDMENT TO THE</w:t>
      </w:r>
    </w:p>
    <w:p>
      <w:pPr>
        <w:spacing w:after="0" w:line="34" w:lineRule="exact"/>
        <w:rPr>
          <w:sz w:val="20"/>
          <w:szCs w:val="20"/>
          <w:color w:val="auto"/>
        </w:rPr>
      </w:pPr>
    </w:p>
    <w:p>
      <w:pPr>
        <w:ind w:left="1700"/>
        <w:spacing w:after="0"/>
        <w:rPr>
          <w:sz w:val="20"/>
          <w:szCs w:val="20"/>
          <w:color w:val="auto"/>
        </w:rPr>
      </w:pPr>
      <w:r>
        <w:rPr>
          <w:rFonts w:ascii="Arial" w:cs="Arial" w:eastAsia="Arial" w:hAnsi="Arial"/>
          <w:sz w:val="17"/>
          <w:szCs w:val="17"/>
          <w:b w:val="1"/>
          <w:bCs w:val="1"/>
          <w:color w:val="auto"/>
        </w:rPr>
        <w:t>THIRD AMENDED AND RESTATED CERTIFICATE OF INCORPORATION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AEON BIOPHARMA,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 Delaware Corporation</w:t>
      </w:r>
    </w:p>
    <w:p>
      <w:pPr>
        <w:spacing w:after="0" w:line="239" w:lineRule="exact"/>
        <w:rPr>
          <w:sz w:val="20"/>
          <w:szCs w:val="20"/>
          <w:color w:val="auto"/>
        </w:rPr>
      </w:pPr>
    </w:p>
    <w:p>
      <w:pPr>
        <w:jc w:val="both"/>
        <w:ind w:left="40" w:right="59" w:firstLine="301"/>
        <w:spacing w:after="0" w:line="271" w:lineRule="auto"/>
        <w:rPr>
          <w:sz w:val="20"/>
          <w:szCs w:val="20"/>
          <w:color w:val="auto"/>
        </w:rPr>
      </w:pPr>
      <w:r>
        <w:rPr>
          <w:rFonts w:ascii="Arial" w:cs="Arial" w:eastAsia="Arial" w:hAnsi="Arial"/>
          <w:sz w:val="17"/>
          <w:szCs w:val="17"/>
          <w:color w:val="auto"/>
        </w:rPr>
        <w:t>AEON Biopharma,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xml:space="preserve">”), a corporation organized and existing under the General Corporation Law of the State of Delaware (the </w:t>
      </w:r>
      <w:r>
        <w:rPr>
          <w:rFonts w:ascii="Arial" w:cs="Arial" w:eastAsia="Arial" w:hAnsi="Arial"/>
          <w:sz w:val="17"/>
          <w:szCs w:val="17"/>
          <w:b w:val="1"/>
          <w:bCs w:val="1"/>
          <w:color w:val="auto"/>
        </w:rPr>
        <w:t>“</w:t>
      </w:r>
      <w:r>
        <w:rPr>
          <w:rFonts w:ascii="Arial" w:cs="Arial" w:eastAsia="Arial" w:hAnsi="Arial"/>
          <w:sz w:val="17"/>
          <w:szCs w:val="17"/>
          <w:u w:val="single" w:color="auto"/>
          <w:color w:val="auto"/>
        </w:rPr>
        <w:t>DGCL</w:t>
      </w:r>
      <w:r>
        <w:rPr>
          <w:rFonts w:ascii="Arial" w:cs="Arial" w:eastAsia="Arial" w:hAnsi="Arial"/>
          <w:sz w:val="17"/>
          <w:szCs w:val="17"/>
          <w:b w:val="1"/>
          <w:bCs w:val="1"/>
          <w:color w:val="auto"/>
        </w:rPr>
        <w:t>”)</w:t>
      </w:r>
      <w:r>
        <w:rPr>
          <w:rFonts w:ascii="Arial" w:cs="Arial" w:eastAsia="Arial" w:hAnsi="Arial"/>
          <w:sz w:val="17"/>
          <w:szCs w:val="17"/>
          <w:color w:val="auto"/>
        </w:rPr>
        <w:t>, hereby certifies as follows: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That the undersigned is the duly elected and acting Chief Executive Officer of the Corporation.</w:t>
      </w:r>
    </w:p>
    <w:p>
      <w:pPr>
        <w:spacing w:after="0" w:line="193" w:lineRule="exact"/>
        <w:rPr>
          <w:sz w:val="20"/>
          <w:szCs w:val="20"/>
          <w:color w:val="auto"/>
        </w:rPr>
      </w:pPr>
    </w:p>
    <w:p>
      <w:pPr>
        <w:jc w:val="both"/>
        <w:ind w:left="40" w:right="59" w:firstLine="301"/>
        <w:spacing w:after="0" w:line="246"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That, pursuant to Section 242 of the DGCL</w:t>
      </w:r>
      <w:r>
        <w:rPr>
          <w:rFonts w:ascii="Arial" w:cs="Arial" w:eastAsia="Arial" w:hAnsi="Arial"/>
          <w:sz w:val="17"/>
          <w:szCs w:val="17"/>
          <w:b w:val="1"/>
          <w:bCs w:val="1"/>
          <w:color w:val="auto"/>
        </w:rPr>
        <w:t>,</w:t>
      </w:r>
      <w:r>
        <w:rPr>
          <w:rFonts w:ascii="Arial" w:cs="Arial" w:eastAsia="Arial" w:hAnsi="Arial"/>
          <w:sz w:val="17"/>
          <w:szCs w:val="17"/>
          <w:color w:val="auto"/>
        </w:rPr>
        <w:t xml:space="preserve"> Article Fourth of the Third Amended and Restated Certificate of Incorporation of the Corporation is hereby amended by adding the following paragraphs immediately after the first paragraph thereof:</w:t>
      </w:r>
    </w:p>
    <w:p>
      <w:pPr>
        <w:spacing w:after="0" w:line="163" w:lineRule="exact"/>
        <w:rPr>
          <w:sz w:val="20"/>
          <w:szCs w:val="20"/>
          <w:color w:val="auto"/>
        </w:rPr>
      </w:pPr>
    </w:p>
    <w:p>
      <w:pPr>
        <w:jc w:val="both"/>
        <w:ind w:left="40" w:right="59" w:firstLine="301"/>
        <w:spacing w:after="0" w:line="257" w:lineRule="auto"/>
        <w:rPr>
          <w:sz w:val="20"/>
          <w:szCs w:val="20"/>
          <w:color w:val="auto"/>
        </w:rPr>
      </w:pPr>
      <w:r>
        <w:rPr>
          <w:rFonts w:ascii="Arial" w:cs="Arial" w:eastAsia="Arial" w:hAnsi="Arial"/>
          <w:sz w:val="16"/>
          <w:szCs w:val="16"/>
          <w:color w:val="auto"/>
        </w:rPr>
        <w:t>Upon the filing and effectiveness (the “</w:t>
      </w:r>
      <w:r>
        <w:rPr>
          <w:rFonts w:ascii="Arial" w:cs="Arial" w:eastAsia="Arial" w:hAnsi="Arial"/>
          <w:sz w:val="16"/>
          <w:szCs w:val="16"/>
          <w:u w:val="single" w:color="auto"/>
          <w:color w:val="auto"/>
        </w:rPr>
        <w:t>Effective Time</w:t>
      </w:r>
      <w:r>
        <w:rPr>
          <w:rFonts w:ascii="Arial" w:cs="Arial" w:eastAsia="Arial" w:hAnsi="Arial"/>
          <w:sz w:val="16"/>
          <w:szCs w:val="16"/>
          <w:color w:val="auto"/>
        </w:rPr>
        <w:t>”) pursuant to the General Corporation Law of the State of Delaware of this Certificate of Amendment to the Third Amended and Restated Certificate of Incorporation of the Corporation, each [ ] (__) shares of Common Stock either issued and outstanding or held by the Corporation as treasury stock immediately prior to the Effective Time shall, automatically and without any action on the part of the respective holders thereof, be combined and converted into one (1) share of Common Stock (the “</w:t>
      </w:r>
      <w:r>
        <w:rPr>
          <w:rFonts w:ascii="Arial" w:cs="Arial" w:eastAsia="Arial" w:hAnsi="Arial"/>
          <w:sz w:val="16"/>
          <w:szCs w:val="16"/>
          <w:u w:val="single" w:color="auto"/>
          <w:color w:val="auto"/>
        </w:rPr>
        <w:t>Reverse Stock Split</w:t>
      </w:r>
      <w:r>
        <w:rPr>
          <w:rFonts w:ascii="Arial" w:cs="Arial" w:eastAsia="Arial" w:hAnsi="Arial"/>
          <w:sz w:val="16"/>
          <w:szCs w:val="16"/>
          <w:color w:val="auto"/>
        </w:rPr>
        <w:t>”).</w:t>
      </w:r>
    </w:p>
    <w:p>
      <w:pPr>
        <w:spacing w:after="0" w:line="155" w:lineRule="exact"/>
        <w:rPr>
          <w:sz w:val="20"/>
          <w:szCs w:val="20"/>
          <w:color w:val="auto"/>
        </w:rPr>
      </w:pPr>
    </w:p>
    <w:p>
      <w:pPr>
        <w:jc w:val="both"/>
        <w:ind w:left="40" w:right="59" w:firstLine="301"/>
        <w:spacing w:after="0" w:line="257" w:lineRule="auto"/>
        <w:rPr>
          <w:sz w:val="20"/>
          <w:szCs w:val="20"/>
          <w:color w:val="auto"/>
        </w:rPr>
      </w:pPr>
      <w:r>
        <w:rPr>
          <w:rFonts w:ascii="Arial" w:cs="Arial" w:eastAsia="Arial" w:hAnsi="Arial"/>
          <w:sz w:val="16"/>
          <w:szCs w:val="16"/>
          <w:color w:val="auto"/>
        </w:rPr>
        <w:t>No fractional shares shall be issued in connection with the Reverse Stock Split. Instead, holders who would be entitled to receive fractional shares of Common Stock because they hold a number of shares not evenly divisible by the Reverse Stock Split ratio will be issued an additional fraction of a share of Common Stock to round up to the next whole post-Reverse Stock Split share of Common Stock. For those stockholders who hold shares with a brokerage firm, the Corporation intends to round up fractional shares at the participant level. No cash will be paid in lieu of fractional shares.</w:t>
      </w:r>
    </w:p>
    <w:p>
      <w:pPr>
        <w:spacing w:after="0" w:line="155" w:lineRule="exact"/>
        <w:rPr>
          <w:sz w:val="20"/>
          <w:szCs w:val="20"/>
          <w:color w:val="auto"/>
        </w:rPr>
      </w:pPr>
    </w:p>
    <w:p>
      <w:pPr>
        <w:jc w:val="both"/>
        <w:ind w:left="40" w:right="59" w:firstLine="301"/>
        <w:spacing w:after="0" w:line="246"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That the foregoing Certificate of Amendment to the Third Amended and Restated Certificate of Incorporation of the Corporation has been duly adopted and approved by the Board of Directors and stockholders of the Corporation in accordance with the applicable provisions of Section 242 of the DGCL.</w:t>
      </w:r>
    </w:p>
    <w:p>
      <w:pPr>
        <w:spacing w:after="0" w:line="163" w:lineRule="exact"/>
        <w:rPr>
          <w:sz w:val="20"/>
          <w:szCs w:val="20"/>
          <w:color w:val="auto"/>
        </w:rPr>
      </w:pPr>
    </w:p>
    <w:p>
      <w:pPr>
        <w:jc w:val="both"/>
        <w:ind w:left="40" w:right="59" w:firstLine="301"/>
        <w:spacing w:after="0" w:line="262" w:lineRule="auto"/>
        <w:rPr>
          <w:sz w:val="20"/>
          <w:szCs w:val="20"/>
          <w:color w:val="auto"/>
        </w:rPr>
      </w:pPr>
      <w:r>
        <w:rPr>
          <w:rFonts w:ascii="Arial" w:cs="Arial" w:eastAsia="Arial" w:hAnsi="Arial"/>
          <w:sz w:val="17"/>
          <w:szCs w:val="17"/>
          <w:color w:val="auto"/>
        </w:rPr>
        <w:t>FOURTH: This Certificate of Amendment shall become effective upon filing with the Secretary of State of the State of Delaware.</w:t>
      </w:r>
    </w:p>
    <w:p>
      <w:pPr>
        <w:spacing w:after="0" w:line="149" w:lineRule="exact"/>
        <w:rPr>
          <w:sz w:val="20"/>
          <w:szCs w:val="20"/>
          <w:color w:val="auto"/>
        </w:rPr>
      </w:pPr>
    </w:p>
    <w:p>
      <w:pPr>
        <w:jc w:val="both"/>
        <w:ind w:left="40" w:right="59" w:firstLine="301"/>
        <w:spacing w:after="0" w:line="246" w:lineRule="auto"/>
        <w:rPr>
          <w:sz w:val="20"/>
          <w:szCs w:val="20"/>
          <w:color w:val="auto"/>
        </w:rPr>
      </w:pPr>
      <w:r>
        <w:rPr>
          <w:rFonts w:ascii="Arial" w:cs="Arial" w:eastAsia="Arial" w:hAnsi="Arial"/>
          <w:sz w:val="17"/>
          <w:szCs w:val="17"/>
          <w:color w:val="auto"/>
        </w:rPr>
        <w:t>IN WITNESS WHEREOF, the undersigned hereby further declares and certifies under penalty of perjury that the facts set forth in the foregoing certificate are true and correct to the knowledge of the undersigned, and that this certificate is the act and deed of the undersigned.</w:t>
      </w:r>
    </w:p>
    <w:p>
      <w:pPr>
        <w:spacing w:after="0" w:line="155" w:lineRule="exact"/>
        <w:rPr>
          <w:sz w:val="20"/>
          <w:szCs w:val="20"/>
          <w:color w:val="auto"/>
        </w:rPr>
      </w:pPr>
    </w:p>
    <w:p>
      <w:pPr>
        <w:ind w:left="340"/>
        <w:spacing w:after="0"/>
        <w:tabs>
          <w:tab w:leader="none" w:pos="1840" w:val="left"/>
          <w:tab w:leader="none" w:pos="2960" w:val="left"/>
          <w:tab w:leader="none" w:pos="3420" w:val="left"/>
        </w:tabs>
        <w:rPr>
          <w:sz w:val="20"/>
          <w:szCs w:val="20"/>
          <w:color w:val="auto"/>
        </w:rPr>
      </w:pPr>
      <w:r>
        <w:rPr>
          <w:rFonts w:ascii="Arial" w:cs="Arial" w:eastAsia="Arial" w:hAnsi="Arial"/>
          <w:sz w:val="17"/>
          <w:szCs w:val="17"/>
          <w:color w:val="auto"/>
        </w:rPr>
        <w:t>Executed on this [</w:t>
        <w:tab/>
        <w:t>]</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of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p>
    <w:p>
      <w:pPr>
        <w:sectPr>
          <w:pgSz w:w="11900" w:h="16852" w:orient="portrait"/>
          <w:cols w:equalWidth="0" w:num="1">
            <w:col w:w="9019"/>
          </w:cols>
          <w:pgMar w:left="1440" w:top="626" w:right="1440" w:bottom="0" w:gutter="0" w:footer="0" w:header="0"/>
        </w:sectPr>
      </w:pPr>
    </w:p>
    <w:bookmarkStart w:id="38" w:name="page39"/>
    <w:bookmarkEnd w:id="38"/>
    <w:p>
      <w:pPr>
        <w:ind w:left="1280"/>
        <w:spacing w:after="0"/>
        <w:rPr>
          <w:sz w:val="20"/>
          <w:szCs w:val="20"/>
          <w:color w:val="auto"/>
        </w:rPr>
      </w:pPr>
      <w:r>
        <w:rPr>
          <w:rFonts w:ascii="Arial" w:cs="Arial" w:eastAsia="Arial" w:hAnsi="Arial"/>
          <w:sz w:val="17"/>
          <w:szCs w:val="17"/>
          <w:color w:val="auto"/>
        </w:rPr>
        <w:t>Robert Bancroft</w:t>
      </w:r>
    </w:p>
    <w:p>
      <w:pPr>
        <w:spacing w:after="0" w:line="2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Chief Executive Officer</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443230</wp:posOffset>
            </wp:positionV>
            <wp:extent cx="5662930"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59"/>
        <w:spacing w:after="0"/>
        <w:rPr>
          <w:sz w:val="20"/>
          <w:szCs w:val="20"/>
          <w:color w:val="auto"/>
        </w:rPr>
      </w:pPr>
      <w:r>
        <w:rPr>
          <w:rFonts w:ascii="Arial" w:cs="Arial" w:eastAsia="Arial" w:hAnsi="Arial"/>
          <w:sz w:val="17"/>
          <w:szCs w:val="17"/>
          <w:b w:val="1"/>
          <w:bCs w:val="1"/>
          <w:u w:val="single" w:color="auto"/>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5715</wp:posOffset>
            </wp:positionV>
            <wp:extent cx="5789930" cy="501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89930" cy="501015"/>
                    </a:xfrm>
                    <a:prstGeom prst="rect">
                      <a:avLst/>
                    </a:prstGeom>
                    <a:noFill/>
                  </pic:spPr>
                </pic:pic>
              </a:graphicData>
            </a:graphic>
          </wp:anchor>
        </w:drawing>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AEON BIOPHARMA, INC.</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AMENDED AND RESTATED 2023 INCENTIVE AWARD PLAN</w:t>
      </w:r>
    </w:p>
    <w:p>
      <w:pPr>
        <w:spacing w:after="0" w:line="30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ARTICLE I.</w:t>
      </w:r>
    </w:p>
    <w:p>
      <w:pPr>
        <w:spacing w:after="0" w:line="1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PURPOSE</w:t>
      </w:r>
    </w:p>
    <w:p>
      <w:pPr>
        <w:spacing w:after="0" w:line="138" w:lineRule="exact"/>
        <w:rPr>
          <w:sz w:val="20"/>
          <w:szCs w:val="20"/>
          <w:color w:val="auto"/>
        </w:rPr>
      </w:pPr>
    </w:p>
    <w:p>
      <w:pPr>
        <w:jc w:val="both"/>
        <w:ind w:left="40" w:right="59" w:firstLine="601"/>
        <w:spacing w:after="0" w:line="249" w:lineRule="auto"/>
        <w:rPr>
          <w:sz w:val="20"/>
          <w:szCs w:val="20"/>
          <w:color w:val="auto"/>
        </w:rPr>
      </w:pPr>
      <w:r>
        <w:rPr>
          <w:rFonts w:ascii="Arial" w:cs="Arial" w:eastAsia="Arial" w:hAnsi="Arial"/>
          <w:sz w:val="18"/>
          <w:szCs w:val="18"/>
          <w:color w:val="auto"/>
        </w:rPr>
        <w:t xml:space="preserve">The Plan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 purpose is to enhance the Company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 This Plan amends and restates in its entirety the AEON Biopharma, Inc. Amended and Restated 2023 Incentive Award Plan (the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Amended Plan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 which became effective on January 21, 2026 (the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Amended Plan Effective Date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 and amended the original AEON Biopharma, Inc. 2023 Incentive Award Plan (the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Original Plan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 which became effective on July 21, 2023 (the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Effective Date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p>
    <w:p>
      <w:pPr>
        <w:spacing w:after="0" w:line="37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ARTICLE II.</w:t>
      </w:r>
    </w:p>
    <w:p>
      <w:pPr>
        <w:spacing w:after="0" w:line="1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ELIGIBILITY</w:t>
      </w:r>
    </w:p>
    <w:p>
      <w:pPr>
        <w:spacing w:after="0" w:line="176" w:lineRule="exact"/>
        <w:rPr>
          <w:sz w:val="20"/>
          <w:szCs w:val="20"/>
          <w:color w:val="auto"/>
        </w:rPr>
      </w:pPr>
    </w:p>
    <w:p>
      <w:pPr>
        <w:jc w:val="both"/>
        <w:ind w:left="40" w:right="59" w:firstLine="601"/>
        <w:spacing w:after="0" w:line="273" w:lineRule="auto"/>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AND DELEGATION</w:t>
      </w:r>
    </w:p>
    <w:p>
      <w:pPr>
        <w:spacing w:after="0" w:line="176" w:lineRule="exact"/>
        <w:rPr>
          <w:sz w:val="20"/>
          <w:szCs w:val="20"/>
          <w:color w:val="auto"/>
        </w:rPr>
      </w:pPr>
    </w:p>
    <w:p>
      <w:pPr>
        <w:jc w:val="both"/>
        <w:ind w:left="40" w:right="59" w:firstLine="601"/>
        <w:spacing w:after="0" w:line="23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xml:space="preserve"> .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 determinations under the Plan are in its sole discretion and will be final and binding on all persons having or claiming any interest in the Plan or any Award.</w:t>
      </w:r>
    </w:p>
    <w:p>
      <w:pPr>
        <w:spacing w:after="0" w:line="161" w:lineRule="exact"/>
        <w:rPr>
          <w:sz w:val="20"/>
          <w:szCs w:val="20"/>
          <w:color w:val="auto"/>
        </w:rPr>
      </w:pPr>
    </w:p>
    <w:p>
      <w:pPr>
        <w:jc w:val="both"/>
        <w:ind w:left="40" w:right="59" w:firstLine="601"/>
        <w:spacing w:after="0" w:line="24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xml:space="preserve"> .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AVAILABLE FOR AWARDS</w:t>
      </w:r>
    </w:p>
    <w:p>
      <w:pPr>
        <w:spacing w:after="0" w:line="176" w:lineRule="exact"/>
        <w:rPr>
          <w:sz w:val="20"/>
          <w:szCs w:val="20"/>
          <w:color w:val="auto"/>
        </w:rPr>
      </w:pPr>
    </w:p>
    <w:p>
      <w:pPr>
        <w:jc w:val="both"/>
        <w:ind w:left="40" w:right="59" w:firstLine="601"/>
        <w:spacing w:after="0" w:line="250"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xml:space="preserve"> . Subject to adjustment under Article VIII and the terms of this Article IV, Awards may be made under the Plan covering up to the Overall Share Limit. Prior Plan Awards will remain subject to the terms of the Prior Plan. Shares issued under the Plan may consist of authorized but unissued Shares, Shares purchased on the open market or treasury Shares.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443230</wp:posOffset>
            </wp:positionV>
            <wp:extent cx="566293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9" w:name="page40"/>
    <w:bookmarkEnd w:id="39"/>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firstLine="601"/>
        <w:spacing w:after="0" w:line="23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 Recycling</w:t>
      </w:r>
      <w:r>
        <w:rPr>
          <w:rFonts w:ascii="Arial" w:cs="Arial" w:eastAsia="Arial" w:hAnsi="Arial"/>
          <w:sz w:val="18"/>
          <w:szCs w:val="18"/>
          <w:color w:val="auto"/>
        </w:rPr>
        <w:t>. If, after the Original Effective Date, all or any part of an Award or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 Notwithstanding anything to the contrary contained herein, the following Shares shall not be added to the Shares authorized for grant under Section 4.1 and shall not be available for future grants of Awards: (a) Shares subject to a Stock Appreciation Right that are not issued in connection with the stock settlement of the Stock Appreciation Right on exercise thereof; and (b) Shares purchased on the open market with the cash proceeds from the exercise of Options (including Prior Plan Awards).</w:t>
      </w:r>
    </w:p>
    <w:p>
      <w:pPr>
        <w:spacing w:after="0" w:line="173" w:lineRule="exact"/>
        <w:rPr>
          <w:sz w:val="20"/>
          <w:szCs w:val="20"/>
          <w:color w:val="auto"/>
        </w:rPr>
      </w:pPr>
    </w:p>
    <w:p>
      <w:pPr>
        <w:jc w:val="both"/>
        <w:ind w:left="40" w:right="59" w:firstLine="601"/>
        <w:spacing w:after="0" w:line="27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Notwithstanding anything to the contrary herein, no more than 20,000,000 Shares may be issued pursuant to the exercise of Incentive Stock Options.</w:t>
      </w:r>
    </w:p>
    <w:p>
      <w:pPr>
        <w:spacing w:after="0" w:line="130" w:lineRule="exact"/>
        <w:rPr>
          <w:sz w:val="20"/>
          <w:szCs w:val="20"/>
          <w:color w:val="auto"/>
        </w:rPr>
      </w:pPr>
    </w:p>
    <w:p>
      <w:pPr>
        <w:jc w:val="both"/>
        <w:ind w:left="40" w:right="59" w:firstLine="601"/>
        <w:spacing w:after="0" w:line="23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an entity</w:t>
      </w:r>
      <w:r>
        <w:rPr>
          <w:rFonts w:ascii="Times New Roman" w:cs="Times New Roman" w:eastAsia="Times New Roman" w:hAnsi="Times New Roman"/>
          <w:sz w:val="18"/>
          <w:szCs w:val="18"/>
          <w:color w:val="auto"/>
        </w:rPr>
        <w:t>’</w:t>
      </w:r>
      <w:r>
        <w:rPr>
          <w:rFonts w:ascii="Arial" w:cs="Arial" w:eastAsia="Arial" w:hAnsi="Arial"/>
          <w:sz w:val="18"/>
          <w:szCs w:val="18"/>
          <w:color w:val="auto"/>
        </w:rPr>
        <w:t>s merger or consolidation with the Company or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acquisition of an entity</w:t>
      </w:r>
      <w:r>
        <w:rPr>
          <w:rFonts w:ascii="Times New Roman" w:cs="Times New Roman" w:eastAsia="Times New Roman" w:hAnsi="Times New Roman"/>
          <w:sz w:val="18"/>
          <w:szCs w:val="18"/>
          <w:color w:val="auto"/>
        </w:rPr>
        <w:t>’</w:t>
      </w:r>
      <w:r>
        <w:rPr>
          <w:rFonts w:ascii="Arial" w:cs="Arial" w:eastAsia="Arial" w:hAnsi="Arial"/>
          <w:sz w:val="18"/>
          <w:szCs w:val="18"/>
          <w:color w:val="auto"/>
        </w:rPr>
        <w:t>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40" w:name="page41"/>
    <w:bookmarkEnd w:id="40"/>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firstLine="601"/>
        <w:spacing w:after="0" w:line="23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Non-Employee Director Compensation</w:t>
      </w:r>
      <w:r>
        <w:rPr>
          <w:rFonts w:ascii="Arial" w:cs="Arial" w:eastAsia="Arial" w:hAnsi="Arial"/>
          <w:sz w:val="18"/>
          <w:szCs w:val="18"/>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calendar year of the Company may not exceed $600,000 (increased to $750,000 in the calendar year of a non-employee Director</w:t>
      </w:r>
      <w:r>
        <w:rPr>
          <w:rFonts w:ascii="Times New Roman" w:cs="Times New Roman" w:eastAsia="Times New Roman" w:hAnsi="Times New Roman"/>
          <w:sz w:val="18"/>
          <w:szCs w:val="18"/>
          <w:color w:val="auto"/>
        </w:rPr>
        <w:t>’</w:t>
      </w:r>
      <w:r>
        <w:rPr>
          <w:rFonts w:ascii="Arial" w:cs="Arial" w:eastAsia="Arial" w:hAnsi="Arial"/>
          <w:sz w:val="18"/>
          <w:szCs w:val="18"/>
          <w:color w:val="auto"/>
        </w:rPr>
        <w:t>s initial service as a non-employee director or any calendar year during which a non-employee Director serves as chairman of the Board or lead independent Director), which limits shall not apply to the compensation for any non-employee Director of the Company who serves in any capacity in addition to that of a non-employee Director for which he or she receives additional compensation or any compensation paid to any non-employee Director prior to the calendar year following the calendar year in which the Plan</w:t>
      </w:r>
      <w:r>
        <w:rPr>
          <w:rFonts w:ascii="Times New Roman" w:cs="Times New Roman" w:eastAsia="Times New Roman" w:hAnsi="Times New Roman"/>
          <w:sz w:val="18"/>
          <w:szCs w:val="18"/>
          <w:color w:val="auto"/>
        </w:rPr>
        <w:t>’</w:t>
      </w:r>
      <w:r>
        <w:rPr>
          <w:rFonts w:ascii="Arial" w:cs="Arial" w:eastAsia="Arial" w:hAnsi="Arial"/>
          <w:sz w:val="18"/>
          <w:szCs w:val="18"/>
          <w:color w:val="auto"/>
        </w:rPr>
        <w:t>s effective date occurs.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176" w:lineRule="exact"/>
        <w:rPr>
          <w:sz w:val="20"/>
          <w:szCs w:val="20"/>
          <w:color w:val="auto"/>
        </w:rPr>
      </w:pPr>
    </w:p>
    <w:p>
      <w:pPr>
        <w:jc w:val="both"/>
        <w:ind w:left="40" w:right="59" w:firstLine="601"/>
        <w:spacing w:after="0" w:line="23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64" w:lineRule="exact"/>
        <w:rPr>
          <w:sz w:val="20"/>
          <w:szCs w:val="20"/>
          <w:color w:val="auto"/>
        </w:rPr>
      </w:pPr>
    </w:p>
    <w:p>
      <w:pPr>
        <w:jc w:val="both"/>
        <w:ind w:left="40" w:right="59" w:firstLine="601"/>
        <w:spacing w:after="0" w:line="25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Administrator will establish each Option</w:t>
      </w:r>
      <w:r>
        <w:rPr>
          <w:rFonts w:ascii="Times New Roman" w:cs="Times New Roman" w:eastAsia="Times New Roman" w:hAnsi="Times New Roman"/>
          <w:sz w:val="18"/>
          <w:szCs w:val="18"/>
          <w:color w:val="auto"/>
        </w:rPr>
        <w:t>’</w:t>
      </w:r>
      <w:r>
        <w:rPr>
          <w:rFonts w:ascii="Arial" w:cs="Arial" w:eastAsia="Arial" w:hAnsi="Arial"/>
          <w:sz w:val="18"/>
          <w:szCs w:val="18"/>
          <w:color w:val="auto"/>
        </w:rPr>
        <w:t>s and Stock Appreciation Right</w:t>
      </w:r>
      <w:r>
        <w:rPr>
          <w:rFonts w:ascii="Times New Roman" w:cs="Times New Roman" w:eastAsia="Times New Roman" w:hAnsi="Times New Roman"/>
          <w:sz w:val="18"/>
          <w:szCs w:val="18"/>
          <w:color w:val="auto"/>
        </w:rPr>
        <w:t>’</w:t>
      </w:r>
      <w:r>
        <w:rPr>
          <w:rFonts w:ascii="Arial" w:cs="Arial" w:eastAsia="Arial" w:hAnsi="Arial"/>
          <w:sz w:val="18"/>
          <w:szCs w:val="18"/>
          <w:color w:val="auto"/>
        </w:rPr>
        <w:t>s exercise price and specify the exercise price in the Award Agreement. The exercise price will not be less than 100% of the Fair Market Value on the grant date of the Option (subject to Section 5.6) or Stock Appreciation Right.</w:t>
      </w:r>
    </w:p>
    <w:p>
      <w:pPr>
        <w:spacing w:after="0" w:line="151"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Duration</w:t>
      </w:r>
      <w:r>
        <w:rPr>
          <w:rFonts w:ascii="Arial" w:cs="Arial" w:eastAsia="Arial" w:hAnsi="Arial"/>
          <w:sz w:val="18"/>
          <w:szCs w:val="18"/>
          <w:color w:val="auto"/>
        </w:rPr>
        <w:t xml:space="preserve">.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w:t>
      </w:r>
      <w:r>
        <w:rPr>
          <w:rFonts w:ascii="Times New Roman" w:cs="Times New Roman" w:eastAsia="Times New Roman" w:hAnsi="Times New Roman"/>
          <w:sz w:val="18"/>
          <w:szCs w:val="18"/>
          <w:color w:val="auto"/>
        </w:rPr>
        <w:t>“</w:t>
      </w:r>
      <w:r>
        <w:rPr>
          <w:rFonts w:ascii="Arial" w:cs="Arial" w:eastAsia="Arial" w:hAnsi="Arial"/>
          <w:sz w:val="18"/>
          <w:szCs w:val="18"/>
          <w:color w:val="auto"/>
        </w:rPr>
        <w:t>lock-up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agreement undertaken in connection with</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41" w:name="page42"/>
    <w:bookmarkEnd w:id="41"/>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8"/>
          <w:szCs w:val="18"/>
          <w:color w:val="auto"/>
        </w:rPr>
        <w:t>an issuance of securities by the Company, the term of the Option or Stock Appreciation Right shall be extended until the date that is 30 days after the end of the legal prohibition, black-out period or lock-up agreement, as determined by the Company; provided, however, in no event shall the extension last beyond the ten year term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transferees to exercise any Option or Stock Appreciation Right issued to the Participant shall terminate immediately upon such violation, unless the Company otherwise determines.</w:t>
      </w:r>
    </w:p>
    <w:p>
      <w:pPr>
        <w:spacing w:after="0" w:line="163" w:lineRule="exact"/>
        <w:rPr>
          <w:sz w:val="20"/>
          <w:szCs w:val="20"/>
          <w:color w:val="auto"/>
        </w:rPr>
      </w:pPr>
    </w:p>
    <w:p>
      <w:pPr>
        <w:jc w:val="both"/>
        <w:ind w:left="40" w:right="59" w:firstLine="601"/>
        <w:spacing w:after="0" w:line="24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w:t>
      </w:r>
    </w:p>
    <w:p>
      <w:pPr>
        <w:spacing w:after="0" w:line="1" w:lineRule="exact"/>
        <w:rPr>
          <w:sz w:val="20"/>
          <w:szCs w:val="20"/>
          <w:color w:val="auto"/>
        </w:rPr>
      </w:pPr>
    </w:p>
    <w:p>
      <w:pPr>
        <w:ind w:left="40" w:right="59" w:firstLine="4"/>
        <w:spacing w:after="0" w:line="266" w:lineRule="auto"/>
        <w:tabs>
          <w:tab w:leader="none" w:pos="3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specified in Section 9.5 for any applicable taxes. Unless the Administrator otherwise determines, an Option or Stock Appreciation Right may not be exercised for a fraction of a Share.</w:t>
      </w:r>
    </w:p>
    <w:p>
      <w:pPr>
        <w:spacing w:after="0" w:line="137" w:lineRule="exact"/>
        <w:rPr>
          <w:sz w:val="20"/>
          <w:szCs w:val="20"/>
          <w:color w:val="auto"/>
        </w:rPr>
      </w:pPr>
    </w:p>
    <w:p>
      <w:pPr>
        <w:ind w:left="40" w:right="59" w:firstLine="601"/>
        <w:spacing w:after="0" w:line="28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Subject to Sections 9.10 and 10.8, any Company insider trading policy (including blackout periods) and Applicable Laws, the exercise price of an Option must be paid by:</w:t>
      </w:r>
    </w:p>
    <w:p>
      <w:pPr>
        <w:spacing w:after="0" w:line="119" w:lineRule="exact"/>
        <w:rPr>
          <w:sz w:val="20"/>
          <w:szCs w:val="20"/>
          <w:color w:val="auto"/>
        </w:rPr>
      </w:pPr>
    </w:p>
    <w:p>
      <w:pPr>
        <w:jc w:val="both"/>
        <w:ind w:left="40" w:right="59" w:firstLine="1207"/>
        <w:spacing w:after="0" w:line="252" w:lineRule="auto"/>
        <w:tabs>
          <w:tab w:leader="none" w:pos="18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49" w:lineRule="exact"/>
        <w:rPr>
          <w:rFonts w:ascii="Arial" w:cs="Arial" w:eastAsia="Arial" w:hAnsi="Arial"/>
          <w:sz w:val="18"/>
          <w:szCs w:val="18"/>
          <w:color w:val="auto"/>
        </w:rPr>
      </w:pPr>
    </w:p>
    <w:p>
      <w:pPr>
        <w:jc w:val="both"/>
        <w:ind w:left="40" w:right="59" w:firstLine="1207"/>
        <w:spacing w:after="0" w:line="241" w:lineRule="auto"/>
        <w:tabs>
          <w:tab w:leader="none" w:pos="18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60" w:lineRule="exact"/>
        <w:rPr>
          <w:rFonts w:ascii="Arial" w:cs="Arial" w:eastAsia="Arial" w:hAnsi="Arial"/>
          <w:sz w:val="18"/>
          <w:szCs w:val="18"/>
          <w:color w:val="auto"/>
        </w:rPr>
      </w:pPr>
    </w:p>
    <w:p>
      <w:pPr>
        <w:ind w:left="40" w:right="59" w:firstLine="1207"/>
        <w:spacing w:after="0" w:line="273" w:lineRule="auto"/>
        <w:tabs>
          <w:tab w:leader="none" w:pos="18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(either by actual delivery or attestation) of Shares owned by the Participant valued at their Fair Market Value;</w:t>
      </w:r>
    </w:p>
    <w:p>
      <w:pPr>
        <w:spacing w:after="0" w:line="130" w:lineRule="exact"/>
        <w:rPr>
          <w:rFonts w:ascii="Arial" w:cs="Arial" w:eastAsia="Arial" w:hAnsi="Arial"/>
          <w:sz w:val="18"/>
          <w:szCs w:val="18"/>
          <w:color w:val="auto"/>
        </w:rPr>
      </w:pPr>
    </w:p>
    <w:p>
      <w:pPr>
        <w:ind w:left="40" w:right="59" w:firstLine="1207"/>
        <w:spacing w:after="0" w:line="272" w:lineRule="auto"/>
        <w:tabs>
          <w:tab w:leader="none" w:pos="18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then issuable upon the Option</w:t>
      </w:r>
      <w:r>
        <w:rPr>
          <w:rFonts w:ascii="Times New Roman" w:cs="Times New Roman" w:eastAsia="Times New Roman" w:hAnsi="Times New Roman"/>
          <w:sz w:val="18"/>
          <w:szCs w:val="18"/>
          <w:color w:val="auto"/>
        </w:rPr>
        <w:t>’</w:t>
      </w:r>
      <w:r>
        <w:rPr>
          <w:rFonts w:ascii="Arial" w:cs="Arial" w:eastAsia="Arial" w:hAnsi="Arial"/>
          <w:sz w:val="18"/>
          <w:szCs w:val="18"/>
          <w:color w:val="auto"/>
        </w:rPr>
        <w:t>s exercise valued at their Fair Market Value on the exercise date;</w:t>
      </w:r>
    </w:p>
    <w:p>
      <w:pPr>
        <w:spacing w:after="0" w:line="143" w:lineRule="exact"/>
        <w:rPr>
          <w:rFonts w:ascii="Arial" w:cs="Arial" w:eastAsia="Arial" w:hAnsi="Arial"/>
          <w:sz w:val="18"/>
          <w:szCs w:val="18"/>
          <w:color w:val="auto"/>
        </w:rPr>
      </w:pPr>
    </w:p>
    <w:p>
      <w:pPr>
        <w:ind w:left="40" w:right="59" w:firstLine="1207"/>
        <w:spacing w:after="0" w:line="273" w:lineRule="auto"/>
        <w:tabs>
          <w:tab w:leader="none" w:pos="18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or any other property that the Administrator determines is good and valuable consideration; or</w:t>
      </w:r>
    </w:p>
    <w:p>
      <w:pPr>
        <w:spacing w:after="0" w:line="130" w:lineRule="exact"/>
        <w:rPr>
          <w:rFonts w:ascii="Arial" w:cs="Arial" w:eastAsia="Arial" w:hAnsi="Arial"/>
          <w:sz w:val="18"/>
          <w:szCs w:val="18"/>
          <w:color w:val="auto"/>
        </w:rPr>
      </w:pPr>
    </w:p>
    <w:p>
      <w:pPr>
        <w:ind w:left="40" w:right="59" w:firstLine="1207"/>
        <w:spacing w:after="0" w:line="273" w:lineRule="auto"/>
        <w:tabs>
          <w:tab w:leader="none" w:pos="18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permitted by the Company, any combination of the above payment forms approved by the Administrator.</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42" w:name="page43"/>
    <w:bookmarkEnd w:id="42"/>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firstLine="601"/>
        <w:spacing w:after="0" w:line="23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Additional Terms of Incentive Stock Options</w:t>
      </w:r>
      <w:r>
        <w:rPr>
          <w:rFonts w:ascii="Arial" w:cs="Arial" w:eastAsia="Arial" w:hAnsi="Arial"/>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w:t>
      </w:r>
      <w:r>
        <w:rPr>
          <w:rFonts w:ascii="Times New Roman" w:cs="Times New Roman" w:eastAsia="Times New Roman" w:hAnsi="Times New Roman"/>
          <w:sz w:val="18"/>
          <w:szCs w:val="18"/>
          <w:color w:val="auto"/>
        </w:rPr>
        <w:t>“</w:t>
      </w:r>
      <w:r>
        <w:rPr>
          <w:rFonts w:ascii="Arial" w:cs="Arial" w:eastAsia="Arial" w:hAnsi="Arial"/>
          <w:sz w:val="18"/>
          <w:szCs w:val="18"/>
          <w:color w:val="auto"/>
        </w:rPr>
        <w:t>incentive stock option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under Section 422 of the Code. Any Incentive Stock Option or portion thereof that fails to qualify as an </w:t>
      </w:r>
      <w:r>
        <w:rPr>
          <w:rFonts w:ascii="Times New Roman" w:cs="Times New Roman" w:eastAsia="Times New Roman" w:hAnsi="Times New Roman"/>
          <w:sz w:val="18"/>
          <w:szCs w:val="18"/>
          <w:color w:val="auto"/>
        </w:rPr>
        <w:t>“</w:t>
      </w:r>
      <w:r>
        <w:rPr>
          <w:rFonts w:ascii="Arial" w:cs="Arial" w:eastAsia="Arial" w:hAnsi="Arial"/>
          <w:sz w:val="18"/>
          <w:szCs w:val="18"/>
          <w:color w:val="auto"/>
        </w:rPr>
        <w:t>incentive stock option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under Section 422 of the Code for any reason, including becoming exercisable with respect to Shares having a fair market value exceeding the $100,000 limitation under Treasury Regulation Section 1.422-4, will be a Non-Qualified Stock Option.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176" w:lineRule="exact"/>
        <w:rPr>
          <w:sz w:val="20"/>
          <w:szCs w:val="20"/>
          <w:color w:val="auto"/>
        </w:rPr>
      </w:pPr>
    </w:p>
    <w:p>
      <w:pPr>
        <w:jc w:val="both"/>
        <w:ind w:left="40" w:right="59" w:firstLine="601"/>
        <w:spacing w:after="0" w:line="24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Restricted Stock, or the right to purchase Restricted Stock, to any Service Provider, subject to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6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94" w:lineRule="exact"/>
        <w:rPr>
          <w:sz w:val="20"/>
          <w:szCs w:val="20"/>
          <w:color w:val="auto"/>
        </w:rPr>
      </w:pPr>
    </w:p>
    <w:p>
      <w:pPr>
        <w:ind w:left="40" w:right="59" w:firstLine="1207"/>
        <w:spacing w:after="0" w:line="236" w:lineRule="auto"/>
        <w:tabs>
          <w:tab w:leader="none" w:pos="18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a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43" w:name="page44"/>
    <w:bookmarkEnd w:id="43"/>
    <w:p>
      <w:pPr>
        <w:jc w:val="right"/>
        <w:ind w:right="59"/>
        <w:spacing w:after="0"/>
        <w:rPr>
          <w:sz w:val="20"/>
          <w:szCs w:val="20"/>
          <w:color w:val="auto"/>
        </w:rPr>
      </w:pPr>
      <w:r>
        <w:rPr>
          <w:rFonts w:ascii="Arial" w:cs="Arial" w:eastAsia="Arial" w:hAnsi="Arial"/>
          <w:sz w:val="17"/>
          <w:szCs w:val="17"/>
          <w:b w:val="1"/>
          <w:bCs w:val="1"/>
          <w:u w:val="single" w:color="auto"/>
          <w:color w:val="auto"/>
        </w:rPr>
        <w:t>APPENDIX B</w:t>
      </w:r>
    </w:p>
    <w:p>
      <w:pPr>
        <w:spacing w:after="0" w:line="6" w:lineRule="exact"/>
        <w:rPr>
          <w:sz w:val="20"/>
          <w:szCs w:val="20"/>
          <w:color w:val="auto"/>
        </w:rPr>
      </w:pPr>
    </w:p>
    <w:p>
      <w:pPr>
        <w:jc w:val="both"/>
        <w:ind w:left="40" w:right="59" w:firstLine="1207"/>
        <w:spacing w:after="0" w:line="242" w:lineRule="auto"/>
        <w:tabs>
          <w:tab w:leader="none" w:pos="184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Restricted Stock Units.</w:t>
      </w:r>
    </w:p>
    <w:p>
      <w:pPr>
        <w:spacing w:after="0" w:line="194" w:lineRule="exact"/>
        <w:rPr>
          <w:sz w:val="20"/>
          <w:szCs w:val="20"/>
          <w:color w:val="auto"/>
        </w:rPr>
      </w:pPr>
    </w:p>
    <w:p>
      <w:pPr>
        <w:jc w:val="both"/>
        <w:ind w:left="40" w:right="59" w:firstLine="1207"/>
        <w:spacing w:after="0" w:line="250" w:lineRule="auto"/>
        <w:tabs>
          <w:tab w:leader="none" w:pos="184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election, in a manner intended to comply with Section 409A.</w:t>
      </w:r>
    </w:p>
    <w:p>
      <w:pPr>
        <w:spacing w:after="0" w:line="163" w:lineRule="exact"/>
        <w:rPr>
          <w:rFonts w:ascii="Arial" w:cs="Arial" w:eastAsia="Arial" w:hAnsi="Arial"/>
          <w:sz w:val="18"/>
          <w:szCs w:val="18"/>
          <w:color w:val="auto"/>
        </w:rPr>
      </w:pPr>
    </w:p>
    <w:p>
      <w:pPr>
        <w:jc w:val="both"/>
        <w:ind w:left="40" w:right="59" w:firstLine="1207"/>
        <w:spacing w:after="0" w:line="252" w:lineRule="auto"/>
        <w:tabs>
          <w:tab w:leader="none" w:pos="184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 OR CASH BASED AWARDS; DIVIDEND EQUIVALENTS</w:t>
      </w:r>
    </w:p>
    <w:p>
      <w:pPr>
        <w:spacing w:after="0" w:line="176"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Other Stock or Cash Based Awards</w:t>
      </w:r>
      <w:r>
        <w:rPr>
          <w:rFonts w:ascii="Arial" w:cs="Arial" w:eastAsia="Arial" w:hAnsi="Arial"/>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355" w:lineRule="exact"/>
        <w:rPr>
          <w:sz w:val="20"/>
          <w:szCs w:val="20"/>
          <w:color w:val="auto"/>
        </w:rPr>
      </w:pPr>
    </w:p>
    <w:p>
      <w:pPr>
        <w:jc w:val="both"/>
        <w:ind w:left="40" w:right="59" w:firstLine="601"/>
        <w:spacing w:after="0" w:line="23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Dividend Equivalents with respect to an Award shall only be paid out to a Participant to the extent that the vesting conditions are subsequently satisfied. All such Dividend Equivalent payments will be made no later than March 15 of the calendar year following the calendar year in which the right to the Dividend Equivalent payment becomes nonforfeitable, unless determined otherwise by the Administrator or unless deferred in a manner intended to comply with Section 409A.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ADJUSTMENTS FOR CHANGES IN COMMON STOCK</w:t>
      </w:r>
    </w:p>
    <w:p>
      <w:pPr>
        <w:jc w:val="center"/>
        <w:ind w:right="19"/>
        <w:spacing w:after="0"/>
        <w:rPr>
          <w:sz w:val="20"/>
          <w:szCs w:val="20"/>
          <w:color w:val="auto"/>
        </w:rPr>
      </w:pPr>
      <w:r>
        <w:rPr>
          <w:rFonts w:ascii="Arial" w:cs="Arial" w:eastAsia="Arial" w:hAnsi="Arial"/>
          <w:sz w:val="18"/>
          <w:szCs w:val="18"/>
          <w:b w:val="1"/>
          <w:bCs w:val="1"/>
          <w:color w:val="auto"/>
        </w:rPr>
        <w:t>AND CERTAIN OTHER EVENTS</w:t>
      </w:r>
    </w:p>
    <w:p>
      <w:pPr>
        <w:spacing w:after="0" w:line="176" w:lineRule="exact"/>
        <w:rPr>
          <w:sz w:val="20"/>
          <w:szCs w:val="20"/>
          <w:color w:val="auto"/>
        </w:rPr>
      </w:pPr>
    </w:p>
    <w:p>
      <w:pPr>
        <w:jc w:val="both"/>
        <w:ind w:left="40" w:right="59" w:firstLine="601"/>
        <w:spacing w:after="0" w:line="24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In connection with any Equity Restructuring, notwithstanding anything to the contrary in this Article VIII, the Administrator will equitably adjust each outstanding Award as it deems appropriate to reflect the Equity Restructuring, which may include (if applicable) adjusting the number and type of securities subject to each outstanding Award, the Award</w:t>
      </w:r>
      <w:r>
        <w:rPr>
          <w:rFonts w:ascii="Times New Roman" w:cs="Times New Roman" w:eastAsia="Times New Roman" w:hAnsi="Times New Roman"/>
          <w:sz w:val="18"/>
          <w:szCs w:val="18"/>
          <w:color w:val="auto"/>
        </w:rPr>
        <w:t>’</w:t>
      </w:r>
      <w:r>
        <w:rPr>
          <w:rFonts w:ascii="Arial" w:cs="Arial" w:eastAsia="Arial" w:hAnsi="Arial"/>
          <w:sz w:val="18"/>
          <w:szCs w:val="18"/>
          <w:color w:val="auto"/>
        </w:rPr>
        <w:t>s exercise price or grant price and/or applicable performance goals, granting new Awards to Participants, and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44" w:name="page45"/>
    <w:bookmarkEnd w:id="44"/>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52" w:lineRule="exact"/>
        <w:rPr>
          <w:sz w:val="20"/>
          <w:szCs w:val="20"/>
          <w:color w:val="auto"/>
        </w:rPr>
      </w:pPr>
    </w:p>
    <w:p>
      <w:pPr>
        <w:jc w:val="both"/>
        <w:ind w:left="40" w:right="59" w:firstLine="601"/>
        <w:spacing w:after="0" w:line="23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Transactions</w:t>
      </w:r>
      <w:r>
        <w:rPr>
          <w:rFonts w:ascii="Arial" w:cs="Arial" w:eastAsia="Arial" w:hAnsi="Arial"/>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in connection with the occurrence of such transaction or event (any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66" w:lineRule="exact"/>
        <w:rPr>
          <w:sz w:val="20"/>
          <w:szCs w:val="20"/>
          <w:color w:val="auto"/>
        </w:rPr>
      </w:pPr>
    </w:p>
    <w:p>
      <w:pPr>
        <w:jc w:val="both"/>
        <w:ind w:left="40" w:right="59" w:firstLine="1207"/>
        <w:spacing w:after="0" w:line="242" w:lineRule="auto"/>
        <w:tabs>
          <w:tab w:leader="none" w:pos="18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under the vested portion of such Award, as applicable; provided that, if the amount that could have been obtained upon the exercise or settlement of the vested portion of such Award or realization of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in any case, is equal to or less than zero, then the Award may be terminated without payment; provided, further, that Awards held by members of the Board will be deemed settled in Shares on or immediately prior to the applicable event if the Administrator takes action under this clause (a);</w:t>
      </w:r>
    </w:p>
    <w:p>
      <w:pPr>
        <w:spacing w:after="0" w:line="157" w:lineRule="exact"/>
        <w:rPr>
          <w:rFonts w:ascii="Arial" w:cs="Arial" w:eastAsia="Arial" w:hAnsi="Arial"/>
          <w:sz w:val="18"/>
          <w:szCs w:val="18"/>
          <w:color w:val="auto"/>
        </w:rPr>
      </w:pPr>
    </w:p>
    <w:p>
      <w:pPr>
        <w:jc w:val="both"/>
        <w:ind w:left="40" w:right="59" w:firstLine="1207"/>
        <w:spacing w:after="0" w:line="252" w:lineRule="auto"/>
        <w:tabs>
          <w:tab w:leader="none" w:pos="18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49" w:lineRule="exact"/>
        <w:rPr>
          <w:rFonts w:ascii="Arial" w:cs="Arial" w:eastAsia="Arial" w:hAnsi="Arial"/>
          <w:sz w:val="18"/>
          <w:szCs w:val="18"/>
          <w:color w:val="auto"/>
        </w:rPr>
      </w:pPr>
    </w:p>
    <w:p>
      <w:pPr>
        <w:jc w:val="both"/>
        <w:ind w:left="40" w:right="59" w:firstLine="1207"/>
        <w:spacing w:after="0" w:line="242" w:lineRule="auto"/>
        <w:tabs>
          <w:tab w:leader="none" w:pos="18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or equivalent value thereof in cash, with appropriate adjustments as to the number and kind of shares and/or applicable exercise or purchase price, in all cases, as determined by the Administrator;</w:t>
      </w:r>
    </w:p>
    <w:p>
      <w:pPr>
        <w:spacing w:after="0" w:line="158" w:lineRule="exact"/>
        <w:rPr>
          <w:rFonts w:ascii="Arial" w:cs="Arial" w:eastAsia="Arial" w:hAnsi="Arial"/>
          <w:sz w:val="18"/>
          <w:szCs w:val="18"/>
          <w:color w:val="auto"/>
        </w:rPr>
      </w:pPr>
    </w:p>
    <w:p>
      <w:pPr>
        <w:jc w:val="both"/>
        <w:ind w:left="40" w:right="59" w:firstLine="1207"/>
        <w:spacing w:after="0" w:line="246" w:lineRule="auto"/>
        <w:tabs>
          <w:tab w:leader="none" w:pos="18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45" w:name="page46"/>
    <w:bookmarkEnd w:id="45"/>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1" w:lineRule="exact"/>
        <w:rPr>
          <w:sz w:val="20"/>
          <w:szCs w:val="20"/>
          <w:color w:val="auto"/>
        </w:rPr>
      </w:pPr>
    </w:p>
    <w:p>
      <w:pPr>
        <w:ind w:left="1240"/>
        <w:spacing w:after="0"/>
        <w:tabs>
          <w:tab w:leader="none" w:pos="18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To replace such Award with other rights or property selected by the Administrator;</w:t>
      </w:r>
    </w:p>
    <w:p>
      <w:pPr>
        <w:ind w:left="40"/>
        <w:spacing w:after="0"/>
        <w:rPr>
          <w:sz w:val="20"/>
          <w:szCs w:val="20"/>
          <w:color w:val="auto"/>
        </w:rPr>
      </w:pPr>
      <w:r>
        <w:rPr>
          <w:rFonts w:ascii="Arial" w:cs="Arial" w:eastAsia="Arial" w:hAnsi="Arial"/>
          <w:sz w:val="18"/>
          <w:szCs w:val="18"/>
          <w:color w:val="auto"/>
        </w:rPr>
        <w:t>and/or</w:t>
      </w:r>
    </w:p>
    <w:p>
      <w:pPr>
        <w:spacing w:after="0" w:line="176" w:lineRule="exact"/>
        <w:rPr>
          <w:sz w:val="20"/>
          <w:szCs w:val="20"/>
          <w:color w:val="auto"/>
        </w:rPr>
      </w:pPr>
    </w:p>
    <w:p>
      <w:pPr>
        <w:ind w:left="40" w:right="59" w:firstLine="1207"/>
        <w:spacing w:after="0" w:line="273" w:lineRule="auto"/>
        <w:tabs>
          <w:tab w:leader="none" w:pos="18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130" w:lineRule="exact"/>
        <w:rPr>
          <w:sz w:val="20"/>
          <w:szCs w:val="20"/>
          <w:color w:val="auto"/>
        </w:rPr>
      </w:pPr>
    </w:p>
    <w:p>
      <w:pPr>
        <w:jc w:val="both"/>
        <w:ind w:left="40" w:right="59" w:firstLine="601"/>
        <w:spacing w:after="0" w:line="23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Effect of Non-Assumption in a Change in Control</w:t>
      </w:r>
      <w:r>
        <w:rPr>
          <w:rFonts w:ascii="Arial" w:cs="Arial" w:eastAsia="Arial" w:hAnsi="Arial"/>
          <w:sz w:val="18"/>
          <w:szCs w:val="18"/>
          <w:color w:val="auto"/>
        </w:rPr>
        <w:t>. Notwithstanding the provisions of Section 8.2, if a Change in Control occurs and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Awards are not continued, converted, assumed, or replaced with a substantially similar award by (a) the Company, or (b) a successor entity or its parent or subsidiary (an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Assumption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provided that the Participant has not had a Termination of Service, then, immediately prior to the Change in Control, such Awards shall become fully vested, exercisable and/or payable, as applicable, and all forfeiture, repurchase and other restrictions on such Awards shall lapse (provided that, to the extent the vesting of any such Award is subject to the satisfaction of specified performance goals, such Award shall vest and all performance goals or other vesting criteria will be deemed achieved at the target level of performance, unless specifically provided otherwise under the applicable Award Agreement or other written agreement between the Participant and the Company or any Subsidiary, as applicable). In addition, to the extent an Assumption does not occur,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to the extent that any Awards constitute </w:t>
      </w:r>
      <w:r>
        <w:rPr>
          <w:rFonts w:ascii="Times New Roman" w:cs="Times New Roman" w:eastAsia="Times New Roman" w:hAnsi="Times New Roman"/>
          <w:sz w:val="18"/>
          <w:szCs w:val="18"/>
          <w:color w:val="auto"/>
        </w:rPr>
        <w:t>“</w:t>
      </w:r>
      <w:r>
        <w:rPr>
          <w:rFonts w:ascii="Arial" w:cs="Arial" w:eastAsia="Arial" w:hAnsi="Arial"/>
          <w:sz w:val="18"/>
          <w:szCs w:val="18"/>
          <w:color w:val="auto"/>
        </w:rPr>
        <w:t>nonqualified deferred compensation</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that may not be paid upon the Change in Control under Section 409A</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without the imposition of taxes thereon under Section 409A, the timing of such payments shall be governed by the applicable Award Agreement (subject to any deferred consideration provisions applicable under the Change in Control documents);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60"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Administrative Stand Still</w:t>
      </w:r>
      <w:r>
        <w:rPr>
          <w:rFonts w:ascii="Arial" w:cs="Arial" w:eastAsia="Arial" w:hAnsi="Arial"/>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spacing w:after="0" w:line="161" w:lineRule="exact"/>
        <w:rPr>
          <w:sz w:val="20"/>
          <w:szCs w:val="20"/>
          <w:color w:val="auto"/>
        </w:rPr>
      </w:pPr>
    </w:p>
    <w:p>
      <w:pPr>
        <w:jc w:val="both"/>
        <w:ind w:left="40" w:right="59" w:firstLine="601"/>
        <w:spacing w:after="0" w:line="24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General</w:t>
      </w:r>
      <w:r>
        <w:rPr>
          <w:rFonts w:ascii="Arial" w:cs="Arial" w:eastAsia="Arial" w:hAnsi="Arial"/>
          <w:sz w:val="18"/>
          <w:szCs w:val="18"/>
          <w:color w:val="auto"/>
        </w:rPr>
        <w:t>. Except as expressly provided in the Plan or the Administrator</w:t>
      </w:r>
      <w:r>
        <w:rPr>
          <w:rFonts w:ascii="Times New Roman" w:cs="Times New Roman" w:eastAsia="Times New Roman" w:hAnsi="Times New Roman"/>
          <w:sz w:val="18"/>
          <w:szCs w:val="18"/>
          <w:color w:val="auto"/>
        </w:rPr>
        <w:t>’</w:t>
      </w:r>
      <w:r>
        <w:rPr>
          <w:rFonts w:ascii="Arial" w:cs="Arial" w:eastAsia="Arial" w:hAnsi="Arial"/>
          <w:sz w:val="18"/>
          <w:szCs w:val="18"/>
          <w:color w:val="auto"/>
        </w:rPr>
        <w:t>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w:t>
      </w:r>
      <w:r>
        <w:rPr>
          <w:rFonts w:ascii="Times New Roman" w:cs="Times New Roman" w:eastAsia="Times New Roman" w:hAnsi="Times New Roman"/>
          <w:sz w:val="18"/>
          <w:szCs w:val="18"/>
          <w:color w:val="auto"/>
        </w:rPr>
        <w:t>’</w:t>
      </w:r>
      <w:r>
        <w:rPr>
          <w:rFonts w:ascii="Arial" w:cs="Arial" w:eastAsia="Arial" w:hAnsi="Arial"/>
          <w:sz w:val="18"/>
          <w:szCs w:val="18"/>
          <w:color w:val="auto"/>
        </w:rPr>
        <w:t>s action under the Plan, no issuance by the Company of Shares of any class, or securities convertible into Shares of any class, will affect, and no adjustment will be made regarding, the number of Shares subject to an Award or the Award</w:t>
      </w:r>
      <w:r>
        <w:rPr>
          <w:rFonts w:ascii="Times New Roman" w:cs="Times New Roman" w:eastAsia="Times New Roman" w:hAnsi="Times New Roman"/>
          <w:sz w:val="18"/>
          <w:szCs w:val="18"/>
          <w:color w:val="auto"/>
        </w:rPr>
        <w:t>’</w:t>
      </w:r>
      <w:r>
        <w:rPr>
          <w:rFonts w:ascii="Arial" w:cs="Arial" w:eastAsia="Arial" w:hAnsi="Arial"/>
          <w:sz w:val="18"/>
          <w:szCs w:val="18"/>
          <w:color w:val="auto"/>
        </w:rPr>
        <w:t>s grant or exercise price. The existence of the Plan, any Award Agreements and the Awards granted hereunder will not affect or restrict in any way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 or power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46" w:name="page47"/>
    <w:bookmarkEnd w:id="46"/>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spacing w:after="0"/>
        <w:rPr>
          <w:sz w:val="20"/>
          <w:szCs w:val="20"/>
          <w:color w:val="auto"/>
        </w:rPr>
      </w:pPr>
      <w:r>
        <w:rPr>
          <w:rFonts w:ascii="Arial" w:cs="Arial" w:eastAsia="Arial" w:hAnsi="Arial"/>
          <w:sz w:val="18"/>
          <w:szCs w:val="18"/>
          <w:color w:val="auto"/>
        </w:rPr>
        <w:t>to make or authorize (i) any adjustment, recapitalization, reorganization or other change in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176"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w:t>
      </w:r>
      <w:r>
        <w:rPr>
          <w:rFonts w:ascii="Times New Roman" w:cs="Times New Roman" w:eastAsia="Times New Roman" w:hAnsi="Times New Roman"/>
          <w:sz w:val="18"/>
          <w:szCs w:val="18"/>
          <w:color w:val="auto"/>
        </w:rPr>
        <w:t>’</w:t>
      </w:r>
      <w:r>
        <w:rPr>
          <w:rFonts w:ascii="Arial" w:cs="Arial" w:eastAsia="Arial" w:hAnsi="Arial"/>
          <w:sz w:val="18"/>
          <w:szCs w:val="18"/>
          <w:color w:val="auto"/>
        </w:rPr>
        <w:t>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authorized transferee that the Administrator specifically approves.</w:t>
      </w:r>
    </w:p>
    <w:p>
      <w:pPr>
        <w:spacing w:after="0" w:line="171"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will be evidenced in an Award Agreement, which may be written or electronic, as the Administrator determines. Each Award may contain terms and conditions in addition to those set forth in the Plan.</w:t>
      </w:r>
    </w:p>
    <w:p>
      <w:pPr>
        <w:spacing w:after="0" w:line="150"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Discretion</w:t>
      </w:r>
      <w:r>
        <w:rPr>
          <w:rFonts w:ascii="Arial" w:cs="Arial" w:eastAsia="Arial" w:hAnsi="Arial"/>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50" w:lineRule="exact"/>
        <w:rPr>
          <w:sz w:val="20"/>
          <w:szCs w:val="20"/>
          <w:color w:val="auto"/>
        </w:rPr>
      </w:pPr>
    </w:p>
    <w:p>
      <w:pPr>
        <w:jc w:val="both"/>
        <w:ind w:left="40" w:right="59" w:firstLine="601"/>
        <w:spacing w:after="0" w:line="24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Administrator will determine how the disability, death, retirement, an authorized leave of absence or any other change or purported change in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Service Provider status affects an Award and the extent to which, and the period during which, the Participant,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legal representative, conservator, guardian or Designated Beneficiary may exercise rights under the Award, if applicable.</w:t>
      </w:r>
    </w:p>
    <w:p>
      <w:pPr>
        <w:spacing w:after="0" w:line="152" w:lineRule="exact"/>
        <w:rPr>
          <w:sz w:val="20"/>
          <w:szCs w:val="20"/>
          <w:color w:val="auto"/>
        </w:rPr>
      </w:pPr>
    </w:p>
    <w:p>
      <w:pPr>
        <w:jc w:val="both"/>
        <w:ind w:left="40" w:right="59" w:firstLine="601"/>
        <w:spacing w:after="0" w:line="23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Withholding</w:t>
      </w:r>
      <w:r>
        <w:rPr>
          <w:rFonts w:ascii="Arial" w:cs="Arial" w:eastAsia="Arial" w:hAnsi="Arial"/>
          <w:sz w:val="18"/>
          <w:szCs w:val="18"/>
          <w:color w:val="auto"/>
        </w:rPr>
        <w:t>. Each Participant must pay the Company, or make provision satisfactory to the Administrator for payment of, any taxes required by Applicable Law to be withheld in connection with such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47" w:name="page48"/>
    <w:bookmarkEnd w:id="47"/>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spacing w:after="0" w:line="232" w:lineRule="auto"/>
        <w:rPr>
          <w:sz w:val="20"/>
          <w:szCs w:val="20"/>
          <w:color w:val="auto"/>
        </w:rPr>
      </w:pPr>
      <w:r>
        <w:rPr>
          <w:rFonts w:ascii="Arial" w:cs="Arial" w:eastAsia="Arial" w:hAnsi="Arial"/>
          <w:sz w:val="18"/>
          <w:szCs w:val="18"/>
          <w:color w:val="auto"/>
        </w:rPr>
        <w:t>Administrator, in whole or in part by delivery of Shares, including Shares delivered by attestation and Shares retained from the Award creating the tax obligation, valued at their fair market value on the date of delivery,</w:t>
      </w:r>
    </w:p>
    <w:p>
      <w:pPr>
        <w:spacing w:after="0" w:line="1" w:lineRule="exact"/>
        <w:rPr>
          <w:sz w:val="20"/>
          <w:szCs w:val="20"/>
          <w:color w:val="auto"/>
        </w:rPr>
      </w:pPr>
    </w:p>
    <w:p>
      <w:pPr>
        <w:jc w:val="both"/>
        <w:ind w:left="40" w:right="59" w:firstLine="4"/>
        <w:spacing w:after="0" w:line="232" w:lineRule="auto"/>
        <w:tabs>
          <w:tab w:leader="none" w:pos="3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Section 9.10,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w:t>
      </w:r>
    </w:p>
    <w:p>
      <w:pPr>
        <w:spacing w:after="0" w:line="2" w:lineRule="exact"/>
        <w:rPr>
          <w:rFonts w:ascii="Arial" w:cs="Arial" w:eastAsia="Arial" w:hAnsi="Arial"/>
          <w:sz w:val="18"/>
          <w:szCs w:val="18"/>
          <w:color w:val="auto"/>
        </w:rPr>
      </w:pPr>
    </w:p>
    <w:p>
      <w:pPr>
        <w:jc w:val="both"/>
        <w:ind w:left="40" w:right="59" w:firstLine="4"/>
        <w:spacing w:after="0" w:line="236" w:lineRule="auto"/>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applicable statutory withholding rate in the applicable jurisdiction at the time of such withholding (or such other rate as may be required to avoid the liability classification of the applicable award under generally accepted accounting principles in the United States of America). Subject to Section 9.10, if any tax withholding obligation will be satisfied under clause (ii) above by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behalf some or all of the Shares retained and to remit the proceeds of the sale to the Company or its designee, and each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acceptance of an Award under the Plan will constitute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authorization to the Company and instruction and authorization to such brokerage firm to complete the transactions described in this sentence.</w:t>
      </w:r>
    </w:p>
    <w:p>
      <w:pPr>
        <w:spacing w:after="0" w:line="171"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Amendment of Award; Prohibition on Repricing</w:t>
      </w:r>
      <w:r>
        <w:rPr>
          <w:rFonts w:ascii="Arial" w:cs="Arial" w:eastAsia="Arial" w:hAnsi="Arial"/>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consent to such action will be required unless (i) the action, taking into account any related action, does not materially and adversely affect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under the Award, or (ii) the change is permitted under Article VIII or pursuant to Section 10.6. Notwithstanding the foregoing or anything in the Plan to the contrary,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351" w:lineRule="exact"/>
        <w:rPr>
          <w:sz w:val="20"/>
          <w:szCs w:val="20"/>
          <w:color w:val="auto"/>
        </w:rPr>
      </w:pPr>
    </w:p>
    <w:p>
      <w:pPr>
        <w:jc w:val="both"/>
        <w:ind w:left="40" w:right="59" w:firstLine="601"/>
        <w:spacing w:after="0" w:line="24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Conditions on Delivery of Stock</w:t>
      </w:r>
      <w:r>
        <w:rPr>
          <w:rFonts w:ascii="Arial" w:cs="Arial" w:eastAsia="Arial" w:hAnsi="Arial"/>
          <w:sz w:val="18"/>
          <w:szCs w:val="18"/>
          <w:color w:val="auto"/>
        </w:rPr>
        <w:t>. The Company will not be obligated to deliver any Shares under the Plan or remove restrictions from Shares previously delivered under the Plan until (i) all Award conditions have been met or removed to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48" w:name="page49"/>
    <w:bookmarkEnd w:id="48"/>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spacing w:after="0"/>
        <w:rPr>
          <w:sz w:val="20"/>
          <w:szCs w:val="20"/>
          <w:color w:val="auto"/>
        </w:rPr>
      </w:pPr>
      <w:r>
        <w:rPr>
          <w:rFonts w:ascii="Arial" w:cs="Arial" w:eastAsia="Arial" w:hAnsi="Arial"/>
          <w:sz w:val="18"/>
          <w:szCs w:val="18"/>
          <w:color w:val="auto"/>
        </w:rPr>
        <w:t>representations or agreements as the Administrator deems necessary or appropriate to satisfy any Applicable Laws.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61"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50"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Cash Settlement</w:t>
      </w:r>
      <w:r>
        <w:rPr>
          <w:rFonts w:ascii="Arial" w:cs="Arial" w:eastAsia="Arial" w:hAnsi="Arial"/>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50" w:lineRule="exact"/>
        <w:rPr>
          <w:sz w:val="20"/>
          <w:szCs w:val="20"/>
          <w:color w:val="auto"/>
        </w:rPr>
      </w:pPr>
    </w:p>
    <w:p>
      <w:pPr>
        <w:jc w:val="both"/>
        <w:ind w:left="40" w:right="59" w:firstLine="601"/>
        <w:spacing w:after="0" w:line="238"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 broker-assisted sale of Shares in connection with the payment of amounts owed by a Participant under or with respect to the Plan or Awards, including amounts to be paid under the final sentence of Section 9.5 above: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w:t>
      </w:r>
      <w:r>
        <w:rPr>
          <w:rFonts w:ascii="Times New Roman" w:cs="Times New Roman" w:eastAsia="Times New Roman" w:hAnsi="Times New Roman"/>
          <w:sz w:val="18"/>
          <w:szCs w:val="18"/>
          <w:color w:val="auto"/>
        </w:rPr>
        <w:t>’</w:t>
      </w:r>
      <w:r>
        <w:rPr>
          <w:rFonts w:ascii="Arial" w:cs="Arial" w:eastAsia="Arial" w:hAnsi="Arial"/>
          <w:sz w:val="18"/>
          <w:szCs w:val="18"/>
          <w:color w:val="auto"/>
        </w:rPr>
        <w:t>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applicable obligation, the Participant may be required to pay immediately upon demand to the Company or its designee an amount in cash sufficient to satisfy any remaining portion of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obligation.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76"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w:t>
      </w:r>
    </w:p>
    <w:p>
      <w:pPr>
        <w:spacing w:after="0" w:line="161" w:lineRule="exact"/>
        <w:rPr>
          <w:sz w:val="20"/>
          <w:szCs w:val="20"/>
          <w:color w:val="auto"/>
        </w:rPr>
      </w:pPr>
    </w:p>
    <w:p>
      <w:pPr>
        <w:jc w:val="both"/>
        <w:ind w:left="40" w:right="59" w:firstLine="601"/>
        <w:spacing w:after="0" w:line="23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Rights as Stockholder; Certificates</w:t>
      </w:r>
      <w:r>
        <w:rPr>
          <w:rFonts w:ascii="Arial" w:cs="Arial" w:eastAsia="Arial" w:hAnsi="Arial"/>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49" w:name="page50"/>
    <w:bookmarkEnd w:id="49"/>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firstLine="601"/>
        <w:spacing w:after="0" w:line="23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Unless earlier terminated by the Board, the Plan (as amended and restated) will become effective on the date on which the Plan is approved by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stockholders (the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Effective Date</w:t>
      </w:r>
      <w:r>
        <w:rPr>
          <w:rFonts w:ascii="Times New Roman" w:cs="Times New Roman" w:eastAsia="Times New Roman" w:hAnsi="Times New Roman"/>
          <w:sz w:val="18"/>
          <w:szCs w:val="18"/>
          <w:color w:val="auto"/>
        </w:rPr>
        <w:t>”</w:t>
      </w:r>
      <w:r>
        <w:rPr>
          <w:rFonts w:ascii="Arial" w:cs="Arial" w:eastAsia="Arial" w:hAnsi="Arial"/>
          <w:sz w:val="18"/>
          <w:szCs w:val="18"/>
          <w:color w:val="auto"/>
        </w:rPr>
        <w:t>) and will remain in effect until the tenth anniversary of the Effective Date. Notwithstanding anything to the contrary in the Plan, an Incentive Stock Option may not be granted under the Plan after 10 years from the earlier of (i) the date the Board adopted the Plan (as amended and restated) or</w:t>
      </w:r>
    </w:p>
    <w:p>
      <w:pPr>
        <w:spacing w:after="0" w:line="4" w:lineRule="exact"/>
        <w:rPr>
          <w:sz w:val="20"/>
          <w:szCs w:val="20"/>
          <w:color w:val="auto"/>
        </w:rPr>
      </w:pPr>
    </w:p>
    <w:p>
      <w:pPr>
        <w:ind w:left="40" w:right="59" w:firstLine="4"/>
        <w:spacing w:after="0" w:line="265" w:lineRule="auto"/>
        <w:tabs>
          <w:tab w:leader="none" w:pos="3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stockholders approved the Plan (as amended and restated), but Awards previously granted may extend beyond that date in accordance with the Plan.</w:t>
      </w:r>
    </w:p>
    <w:p>
      <w:pPr>
        <w:spacing w:after="0" w:line="138" w:lineRule="exact"/>
        <w:rPr>
          <w:sz w:val="20"/>
          <w:szCs w:val="20"/>
          <w:color w:val="auto"/>
        </w:rPr>
      </w:pPr>
    </w:p>
    <w:p>
      <w:pPr>
        <w:jc w:val="both"/>
        <w:ind w:left="40" w:right="59" w:firstLine="601"/>
        <w:spacing w:after="0" w:line="24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Amendment of Plan</w:t>
      </w:r>
      <w:r>
        <w:rPr>
          <w:rFonts w:ascii="Arial" w:cs="Arial" w:eastAsia="Arial" w:hAnsi="Arial"/>
          <w:sz w:val="18"/>
          <w:szCs w:val="18"/>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consent. No Awards may be granted under the Plan during any suspension period or after the Plan</w:t>
      </w:r>
      <w:r>
        <w:rPr>
          <w:rFonts w:ascii="Times New Roman" w:cs="Times New Roman" w:eastAsia="Times New Roman" w:hAnsi="Times New Roman"/>
          <w:sz w:val="18"/>
          <w:szCs w:val="18"/>
          <w:color w:val="auto"/>
        </w:rPr>
        <w:t>’</w:t>
      </w:r>
      <w:r>
        <w:rPr>
          <w:rFonts w:ascii="Arial" w:cs="Arial" w:eastAsia="Arial" w:hAnsi="Arial"/>
          <w:sz w:val="18"/>
          <w:szCs w:val="18"/>
          <w:color w:val="auto"/>
        </w:rPr>
        <w:t>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366"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06" w:lineRule="exact"/>
        <w:rPr>
          <w:sz w:val="20"/>
          <w:szCs w:val="20"/>
          <w:color w:val="auto"/>
        </w:rPr>
      </w:pPr>
    </w:p>
    <w:p>
      <w:pPr>
        <w:jc w:val="both"/>
        <w:ind w:left="40" w:right="59" w:firstLine="1207"/>
        <w:spacing w:after="0" w:line="244" w:lineRule="auto"/>
        <w:tabs>
          <w:tab w:leader="none" w:pos="184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w:t>
      </w:r>
      <w:r>
        <w:rPr>
          <w:rFonts w:ascii="Times New Roman" w:cs="Times New Roman" w:eastAsia="Times New Roman" w:hAnsi="Times New Roman"/>
          <w:sz w:val="18"/>
          <w:szCs w:val="18"/>
          <w:color w:val="auto"/>
        </w:rPr>
        <w:t>’</w:t>
      </w:r>
      <w:r>
        <w:rPr>
          <w:rFonts w:ascii="Arial" w:cs="Arial" w:eastAsia="Arial" w:hAnsi="Arial"/>
          <w:sz w:val="18"/>
          <w:szCs w:val="18"/>
          <w:color w:val="auto"/>
        </w:rPr>
        <w:t>s grant date. The Company makes no representations or warranties as to an Award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w:t>
      </w:r>
      <w:r>
        <w:rPr>
          <w:rFonts w:ascii="Times New Roman" w:cs="Times New Roman" w:eastAsia="Times New Roman" w:hAnsi="Times New Roman"/>
          <w:sz w:val="18"/>
          <w:szCs w:val="18"/>
          <w:color w:val="auto"/>
        </w:rPr>
        <w:t>“</w:t>
      </w:r>
      <w:r>
        <w:rPr>
          <w:rFonts w:ascii="Arial" w:cs="Arial" w:eastAsia="Arial" w:hAnsi="Arial"/>
          <w:sz w:val="18"/>
          <w:szCs w:val="18"/>
          <w:color w:val="auto"/>
        </w:rPr>
        <w:t>nonqualified deferred compensation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subject to taxes, penalties or interest under Section 409A.</w:t>
      </w:r>
    </w:p>
    <w:p>
      <w:pPr>
        <w:spacing w:after="0" w:line="379" w:lineRule="exact"/>
        <w:rPr>
          <w:rFonts w:ascii="Arial" w:cs="Arial" w:eastAsia="Arial" w:hAnsi="Arial"/>
          <w:sz w:val="18"/>
          <w:szCs w:val="18"/>
          <w:color w:val="auto"/>
        </w:rPr>
      </w:pPr>
    </w:p>
    <w:p>
      <w:pPr>
        <w:jc w:val="both"/>
        <w:ind w:left="40" w:right="59" w:firstLine="1207"/>
        <w:spacing w:after="0" w:line="252" w:lineRule="auto"/>
        <w:tabs>
          <w:tab w:leader="none" w:pos="184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xml:space="preserve">. If an Award constitutes </w:t>
      </w:r>
      <w:r>
        <w:rPr>
          <w:rFonts w:ascii="Times New Roman" w:cs="Times New Roman" w:eastAsia="Times New Roman" w:hAnsi="Times New Roman"/>
          <w:sz w:val="18"/>
          <w:szCs w:val="18"/>
          <w:color w:val="auto"/>
        </w:rPr>
        <w:t>“</w:t>
      </w:r>
      <w:r>
        <w:rPr>
          <w:rFonts w:ascii="Arial" w:cs="Arial" w:eastAsia="Arial" w:hAnsi="Arial"/>
          <w:sz w:val="18"/>
          <w:szCs w:val="18"/>
          <w:color w:val="auto"/>
        </w:rPr>
        <w:t>nonqualified deferred compensation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under Section 409A, any payment or settlement of such Award upon a termination of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Service Provider relationship will, to the extent necessary to avoid taxes under Section 409A, be made only upon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w:t>
      </w:r>
      <w:r>
        <w:rPr>
          <w:rFonts w:ascii="Times New Roman" w:cs="Times New Roman" w:eastAsia="Times New Roman" w:hAnsi="Times New Roman"/>
          <w:sz w:val="18"/>
          <w:szCs w:val="18"/>
          <w:color w:val="auto"/>
        </w:rPr>
        <w:t>“</w:t>
      </w:r>
      <w:r>
        <w:rPr>
          <w:rFonts w:ascii="Arial" w:cs="Arial" w:eastAsia="Arial" w:hAnsi="Arial"/>
          <w:sz w:val="18"/>
          <w:szCs w:val="18"/>
          <w:color w:val="auto"/>
        </w:rPr>
        <w:t>separation from service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(within the meaning of Section 409A), whether such </w:t>
      </w:r>
      <w:r>
        <w:rPr>
          <w:rFonts w:ascii="Times New Roman" w:cs="Times New Roman" w:eastAsia="Times New Roman" w:hAnsi="Times New Roman"/>
          <w:sz w:val="18"/>
          <w:szCs w:val="18"/>
          <w:color w:val="auto"/>
        </w:rPr>
        <w:t>“</w:t>
      </w:r>
      <w:r>
        <w:rPr>
          <w:rFonts w:ascii="Arial" w:cs="Arial" w:eastAsia="Arial" w:hAnsi="Arial"/>
          <w:sz w:val="18"/>
          <w:szCs w:val="18"/>
          <w:color w:val="auto"/>
        </w:rPr>
        <w:t>separation from service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occurs upon or after the termination of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Service Provider relationship. For purposes of this Plan or any Award Agreement relating to any such payments or benefits, references to a </w:t>
      </w:r>
      <w:r>
        <w:rPr>
          <w:rFonts w:ascii="Times New Roman" w:cs="Times New Roman" w:eastAsia="Times New Roman" w:hAnsi="Times New Roman"/>
          <w:sz w:val="18"/>
          <w:szCs w:val="18"/>
          <w:color w:val="auto"/>
        </w:rPr>
        <w:t>“</w:t>
      </w:r>
      <w:r>
        <w:rPr>
          <w:rFonts w:ascii="Arial" w:cs="Arial" w:eastAsia="Arial" w:hAnsi="Arial"/>
          <w:sz w:val="18"/>
          <w:szCs w:val="18"/>
          <w:color w:val="auto"/>
        </w:rPr>
        <w:t>termination,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termination of employment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or like terms means a</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separation from service.</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50" w:name="page51"/>
    <w:bookmarkEnd w:id="50"/>
    <w:p>
      <w:pPr>
        <w:jc w:val="right"/>
        <w:ind w:right="59"/>
        <w:spacing w:after="0"/>
        <w:rPr>
          <w:sz w:val="20"/>
          <w:szCs w:val="20"/>
          <w:color w:val="auto"/>
        </w:rPr>
      </w:pPr>
      <w:r>
        <w:rPr>
          <w:rFonts w:ascii="Arial" w:cs="Arial" w:eastAsia="Arial" w:hAnsi="Arial"/>
          <w:sz w:val="17"/>
          <w:szCs w:val="17"/>
          <w:b w:val="1"/>
          <w:bCs w:val="1"/>
          <w:u w:val="single" w:color="auto"/>
          <w:color w:val="auto"/>
        </w:rPr>
        <w:t>APPENDIX B</w:t>
      </w:r>
    </w:p>
    <w:p>
      <w:pPr>
        <w:spacing w:after="0" w:line="6" w:lineRule="exact"/>
        <w:rPr>
          <w:sz w:val="20"/>
          <w:szCs w:val="20"/>
          <w:color w:val="auto"/>
        </w:rPr>
      </w:pPr>
    </w:p>
    <w:p>
      <w:pPr>
        <w:jc w:val="both"/>
        <w:ind w:left="40" w:right="59" w:firstLine="1207"/>
        <w:spacing w:after="0" w:line="245" w:lineRule="auto"/>
        <w:tabs>
          <w:tab w:leader="none" w:pos="184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Payments to Specified Employees</w:t>
      </w:r>
      <w:r>
        <w:rPr>
          <w:rFonts w:ascii="Arial" w:cs="Arial" w:eastAsia="Arial" w:hAnsi="Arial"/>
          <w:sz w:val="18"/>
          <w:szCs w:val="18"/>
          <w:color w:val="auto"/>
        </w:rPr>
        <w:t xml:space="preserve">. Notwithstanding any contrary provision in the Plan or any Award Agreement, any payment(s) of </w:t>
      </w:r>
      <w:r>
        <w:rPr>
          <w:rFonts w:ascii="Times New Roman" w:cs="Times New Roman" w:eastAsia="Times New Roman" w:hAnsi="Times New Roman"/>
          <w:sz w:val="18"/>
          <w:szCs w:val="18"/>
          <w:color w:val="auto"/>
        </w:rPr>
        <w:t>“</w:t>
      </w:r>
      <w:r>
        <w:rPr>
          <w:rFonts w:ascii="Arial" w:cs="Arial" w:eastAsia="Arial" w:hAnsi="Arial"/>
          <w:sz w:val="18"/>
          <w:szCs w:val="18"/>
          <w:color w:val="auto"/>
        </w:rPr>
        <w:t>nonqualified deferred compensation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required to be made under an Award to a </w:t>
      </w:r>
      <w:r>
        <w:rPr>
          <w:rFonts w:ascii="Times New Roman" w:cs="Times New Roman" w:eastAsia="Times New Roman" w:hAnsi="Times New Roman"/>
          <w:sz w:val="18"/>
          <w:szCs w:val="18"/>
          <w:color w:val="auto"/>
        </w:rPr>
        <w:t>“</w:t>
      </w:r>
      <w:r>
        <w:rPr>
          <w:rFonts w:ascii="Arial" w:cs="Arial" w:eastAsia="Arial" w:hAnsi="Arial"/>
          <w:sz w:val="18"/>
          <w:szCs w:val="18"/>
          <w:color w:val="auto"/>
        </w:rPr>
        <w:t>specified employee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(as defined under Section 409A and as the Administrator determines) due to his or her </w:t>
      </w:r>
      <w:r>
        <w:rPr>
          <w:rFonts w:ascii="Times New Roman" w:cs="Times New Roman" w:eastAsia="Times New Roman" w:hAnsi="Times New Roman"/>
          <w:sz w:val="18"/>
          <w:szCs w:val="18"/>
          <w:color w:val="auto"/>
        </w:rPr>
        <w:t>“</w:t>
      </w:r>
      <w:r>
        <w:rPr>
          <w:rFonts w:ascii="Arial" w:cs="Arial" w:eastAsia="Arial" w:hAnsi="Arial"/>
          <w:sz w:val="18"/>
          <w:szCs w:val="18"/>
          <w:color w:val="auto"/>
        </w:rPr>
        <w:t>separation from service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will, to the extent necessary to avoid taxes under Section 409A(a)(2)(B)(i) of the Code, be delayed for the six-month period immediately following such </w:t>
      </w:r>
      <w:r>
        <w:rPr>
          <w:rFonts w:ascii="Times New Roman" w:cs="Times New Roman" w:eastAsia="Times New Roman" w:hAnsi="Times New Roman"/>
          <w:sz w:val="18"/>
          <w:szCs w:val="18"/>
          <w:color w:val="auto"/>
        </w:rPr>
        <w:t>“</w:t>
      </w:r>
      <w:r>
        <w:rPr>
          <w:rFonts w:ascii="Arial" w:cs="Arial" w:eastAsia="Arial" w:hAnsi="Arial"/>
          <w:sz w:val="18"/>
          <w:szCs w:val="18"/>
          <w:color w:val="auto"/>
        </w:rPr>
        <w:t>separation from service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(or, if earlier, until the specified employee</w:t>
      </w:r>
      <w:r>
        <w:rPr>
          <w:rFonts w:ascii="Times New Roman" w:cs="Times New Roman" w:eastAsia="Times New Roman" w:hAnsi="Times New Roman"/>
          <w:sz w:val="18"/>
          <w:szCs w:val="18"/>
          <w:color w:val="auto"/>
        </w:rPr>
        <w:t>’</w:t>
      </w:r>
      <w:r>
        <w:rPr>
          <w:rFonts w:ascii="Arial" w:cs="Arial" w:eastAsia="Arial" w:hAnsi="Arial"/>
          <w:sz w:val="18"/>
          <w:szCs w:val="18"/>
          <w:color w:val="auto"/>
        </w:rPr>
        <w:t>s death) and will instead be paid (as set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forth in the Award Agreement) on the day immediately following such six-month period or as soon as administratively practicable thereafter (without interest). Any payments of </w:t>
      </w:r>
      <w:r>
        <w:rPr>
          <w:rFonts w:ascii="Times New Roman" w:cs="Times New Roman" w:eastAsia="Times New Roman" w:hAnsi="Times New Roman"/>
          <w:sz w:val="18"/>
          <w:szCs w:val="18"/>
          <w:color w:val="auto"/>
        </w:rPr>
        <w:t>“</w:t>
      </w:r>
      <w:r>
        <w:rPr>
          <w:rFonts w:ascii="Arial" w:cs="Arial" w:eastAsia="Arial" w:hAnsi="Arial"/>
          <w:sz w:val="18"/>
          <w:szCs w:val="18"/>
          <w:color w:val="auto"/>
        </w:rPr>
        <w:t>nonqualified deferred compensation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under such Award payable more than six months following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w:t>
      </w:r>
      <w:r>
        <w:rPr>
          <w:rFonts w:ascii="Times New Roman" w:cs="Times New Roman" w:eastAsia="Times New Roman" w:hAnsi="Times New Roman"/>
          <w:sz w:val="18"/>
          <w:szCs w:val="18"/>
          <w:color w:val="auto"/>
        </w:rPr>
        <w:t>“</w:t>
      </w:r>
      <w:r>
        <w:rPr>
          <w:rFonts w:ascii="Arial" w:cs="Arial" w:eastAsia="Arial" w:hAnsi="Arial"/>
          <w:sz w:val="18"/>
          <w:szCs w:val="18"/>
          <w:color w:val="auto"/>
        </w:rPr>
        <w:t>separation from service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will be paid at the time or times the payments are otherwise scheduled to be made. Furthermore, notwithstanding any contrary provision of the Plan or any Award Agreement, any payment of </w:t>
      </w:r>
      <w:r>
        <w:rPr>
          <w:rFonts w:ascii="Times New Roman" w:cs="Times New Roman" w:eastAsia="Times New Roman" w:hAnsi="Times New Roman"/>
          <w:sz w:val="18"/>
          <w:szCs w:val="18"/>
          <w:color w:val="auto"/>
        </w:rPr>
        <w:t>“</w:t>
      </w:r>
      <w:r>
        <w:rPr>
          <w:rFonts w:ascii="Arial" w:cs="Arial" w:eastAsia="Arial" w:hAnsi="Arial"/>
          <w:sz w:val="18"/>
          <w:szCs w:val="18"/>
          <w:color w:val="auto"/>
        </w:rPr>
        <w:t>nonqualified deferred compensation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under the Plan that may be made in installments shall be treated as a right to receive a series of separate and distinct payments.</w:t>
      </w:r>
    </w:p>
    <w:p>
      <w:pPr>
        <w:spacing w:after="0" w:line="371"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 Notwithstanding any other provisions of the Plan and to the fullest extent permitted by Applicable Laws and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certificate of incorporation and bylaws, (a)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and (b) the Company will indemnify and hold harmless each director, officer, other employee and agent of the Company or any Subsidiary that has been or will be granted or delegated any duty or power relating to the Plan</w:t>
      </w:r>
      <w:r>
        <w:rPr>
          <w:rFonts w:ascii="Times New Roman" w:cs="Times New Roman" w:eastAsia="Times New Roman" w:hAnsi="Times New Roman"/>
          <w:sz w:val="18"/>
          <w:szCs w:val="18"/>
          <w:color w:val="auto"/>
        </w:rPr>
        <w:t>’</w:t>
      </w:r>
      <w:r>
        <w:rPr>
          <w:rFonts w:ascii="Arial" w:cs="Arial" w:eastAsia="Arial" w:hAnsi="Arial"/>
          <w:sz w:val="18"/>
          <w:szCs w:val="18"/>
          <w:color w:val="auto"/>
        </w:rPr>
        <w:t>s administration or interpretation, against any cost or expense (including attorneys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fees) or liability (including any sum paid in settlement of a claim with the Administrator</w:t>
      </w:r>
      <w:r>
        <w:rPr>
          <w:rFonts w:ascii="Times New Roman" w:cs="Times New Roman" w:eastAsia="Times New Roman" w:hAnsi="Times New Roman"/>
          <w:sz w:val="18"/>
          <w:szCs w:val="18"/>
          <w:color w:val="auto"/>
        </w:rPr>
        <w:t>’</w:t>
      </w:r>
      <w:r>
        <w:rPr>
          <w:rFonts w:ascii="Arial" w:cs="Arial" w:eastAsia="Arial" w:hAnsi="Arial"/>
          <w:sz w:val="18"/>
          <w:szCs w:val="18"/>
          <w:color w:val="auto"/>
        </w:rPr>
        <w:t>s approval) arising from any act or omission concerning this Plan unless arising from such person</w:t>
      </w:r>
      <w:r>
        <w:rPr>
          <w:rFonts w:ascii="Times New Roman" w:cs="Times New Roman" w:eastAsia="Times New Roman" w:hAnsi="Times New Roman"/>
          <w:sz w:val="18"/>
          <w:szCs w:val="18"/>
          <w:color w:val="auto"/>
        </w:rPr>
        <w:t>’</w:t>
      </w:r>
      <w:r>
        <w:rPr>
          <w:rFonts w:ascii="Arial" w:cs="Arial" w:eastAsia="Arial" w:hAnsi="Arial"/>
          <w:sz w:val="18"/>
          <w:szCs w:val="18"/>
          <w:color w:val="auto"/>
        </w:rPr>
        <w:t>s own fraud or bad faith.</w:t>
      </w:r>
    </w:p>
    <w:p>
      <w:pPr>
        <w:spacing w:after="0" w:line="180" w:lineRule="exact"/>
        <w:rPr>
          <w:sz w:val="20"/>
          <w:szCs w:val="20"/>
          <w:color w:val="auto"/>
        </w:rPr>
      </w:pPr>
    </w:p>
    <w:p>
      <w:pPr>
        <w:jc w:val="both"/>
        <w:ind w:left="40" w:right="59" w:firstLine="601"/>
        <w:spacing w:after="0" w:line="242"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Lock-Up Period</w:t>
      </w:r>
      <w:r>
        <w:rPr>
          <w:rFonts w:ascii="Arial" w:cs="Arial" w:eastAsia="Arial" w:hAnsi="Arial"/>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59" w:lineRule="exact"/>
        <w:rPr>
          <w:sz w:val="20"/>
          <w:szCs w:val="20"/>
          <w:color w:val="auto"/>
        </w:rPr>
      </w:pPr>
    </w:p>
    <w:p>
      <w:pPr>
        <w:jc w:val="both"/>
        <w:ind w:left="40" w:right="59" w:firstLine="601"/>
        <w:spacing w:after="0" w:line="241"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Data Privacy</w:t>
      </w:r>
      <w:r>
        <w:rPr>
          <w:rFonts w:ascii="Arial" w:cs="Arial" w:eastAsia="Arial" w:hAnsi="Arial"/>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participation in the Plan. The Company and its Subsidiaries and affiliates may hold certain personal information about a Participant, including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Data</w:t>
      </w:r>
      <w:r>
        <w:rPr>
          <w:rFonts w:ascii="Times New Roman" w:cs="Times New Roman" w:eastAsia="Times New Roman" w:hAnsi="Times New Roman"/>
          <w:sz w:val="18"/>
          <w:szCs w:val="18"/>
          <w:color w:val="auto"/>
        </w:rPr>
        <w:t>”</w:t>
      </w:r>
      <w:r>
        <w:rPr>
          <w:rFonts w:ascii="Arial" w:cs="Arial" w:eastAsia="Arial" w:hAnsi="Arial"/>
          <w:sz w:val="18"/>
          <w:szCs w:val="18"/>
          <w:color w:val="auto"/>
        </w:rPr>
        <w:t>). The Company and its Subsidiaries and affiliates may transfer the Data amongst themselves as necessary to implement, administer and manage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participation in the Plan, and the Company and its Subsidiaries and affiliates may transfer the Data to third parties assisting the Company with Plan implementation, administration and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51" w:name="page52"/>
    <w:bookmarkEnd w:id="51"/>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spacing w:after="0"/>
        <w:rPr>
          <w:sz w:val="20"/>
          <w:szCs w:val="20"/>
          <w:color w:val="auto"/>
        </w:rPr>
      </w:pPr>
      <w:r>
        <w:rPr>
          <w:rFonts w:ascii="Arial" w:cs="Arial" w:eastAsia="Arial" w:hAnsi="Arial"/>
          <w:sz w:val="18"/>
          <w:szCs w:val="18"/>
          <w:color w:val="auto"/>
        </w:rPr>
        <w:t>management. These recipients may be located in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country, or elsewhere, and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country may have different data privacy laws and protections than the recipients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country. By accepting an Award, each Participant authorizes such recipients to receive, possess, use, retain and transfer the Data, in electronic or other form, to implement, administer and manage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ability to participate in the Plan and, in the Administrator</w:t>
      </w:r>
      <w:r>
        <w:rPr>
          <w:rFonts w:ascii="Times New Roman" w:cs="Times New Roman" w:eastAsia="Times New Roman" w:hAnsi="Times New Roman"/>
          <w:sz w:val="18"/>
          <w:szCs w:val="18"/>
          <w:color w:val="auto"/>
        </w:rPr>
        <w:t>’</w:t>
      </w:r>
      <w:r>
        <w:rPr>
          <w:rFonts w:ascii="Arial" w:cs="Arial" w:eastAsia="Arial" w:hAnsi="Arial"/>
          <w:sz w:val="18"/>
          <w:szCs w:val="18"/>
          <w:color w:val="auto"/>
        </w:rPr>
        <w:t>s discretion, the Participant may forfeit any outstanding Awards. For more information on the consequences of refusing or withdrawing consent, Participants may contact their local human resources representative.</w:t>
      </w:r>
    </w:p>
    <w:p>
      <w:pPr>
        <w:spacing w:after="0" w:line="374"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57"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57" w:lineRule="exact"/>
        <w:rPr>
          <w:sz w:val="20"/>
          <w:szCs w:val="20"/>
          <w:color w:val="auto"/>
        </w:rPr>
      </w:pPr>
    </w:p>
    <w:p>
      <w:pPr>
        <w:jc w:val="both"/>
        <w:ind w:left="40" w:right="59" w:firstLine="601"/>
        <w:spacing w:after="0" w:line="259"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any state</w:t>
      </w:r>
      <w:r>
        <w:rPr>
          <w:rFonts w:ascii="Times New Roman" w:cs="Times New Roman" w:eastAsia="Times New Roman" w:hAnsi="Times New Roman"/>
          <w:sz w:val="18"/>
          <w:szCs w:val="18"/>
          <w:color w:val="auto"/>
        </w:rPr>
        <w:t>’</w:t>
      </w:r>
      <w:r>
        <w:rPr>
          <w:rFonts w:ascii="Arial" w:cs="Arial" w:eastAsia="Arial" w:hAnsi="Arial"/>
          <w:sz w:val="18"/>
          <w:szCs w:val="18"/>
          <w:color w:val="auto"/>
        </w:rPr>
        <w:t>s choice-of-law principles requiring the application of a jurisdiction</w:t>
      </w:r>
      <w:r>
        <w:rPr>
          <w:rFonts w:ascii="Times New Roman" w:cs="Times New Roman" w:eastAsia="Times New Roman" w:hAnsi="Times New Roman"/>
          <w:sz w:val="18"/>
          <w:szCs w:val="18"/>
          <w:color w:val="auto"/>
        </w:rPr>
        <w:t>’</w:t>
      </w:r>
      <w:r>
        <w:rPr>
          <w:rFonts w:ascii="Arial" w:cs="Arial" w:eastAsia="Arial" w:hAnsi="Arial"/>
          <w:sz w:val="18"/>
          <w:szCs w:val="18"/>
          <w:color w:val="auto"/>
        </w:rPr>
        <w:t>s laws other than the State of Delaware.</w:t>
      </w:r>
    </w:p>
    <w:p>
      <w:pPr>
        <w:spacing w:after="0" w:line="155" w:lineRule="exact"/>
        <w:rPr>
          <w:sz w:val="20"/>
          <w:szCs w:val="20"/>
          <w:color w:val="auto"/>
        </w:rPr>
      </w:pPr>
    </w:p>
    <w:p>
      <w:pPr>
        <w:jc w:val="both"/>
        <w:ind w:left="40" w:right="59" w:firstLine="601"/>
        <w:spacing w:after="0" w:line="243"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Claw-back Provisions</w:t>
      </w:r>
      <w:r>
        <w:rPr>
          <w:rFonts w:ascii="Arial" w:cs="Arial" w:eastAsia="Arial" w:hAnsi="Arial"/>
          <w:sz w:val="18"/>
          <w:szCs w:val="18"/>
          <w:color w:val="auto"/>
        </w:rPr>
        <w:t>. All Awards (including, without limitation, any proceeds, gains or other economic benefit actually or constructively received by Participant upon any receipt or exercise of any Award or upon the receipt or sale of any Shares underlying the Award) shall be subject to the provisions of any claw-back policy implemented by the Company, including, without limitation,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Policy for Recovery of Erroneously Awarded Compensation and any claw-back policy adopted to comply with Applicable Laws as and to the extent set forth in such claw-back policy or the Award Agreement.</w:t>
      </w:r>
    </w:p>
    <w:p>
      <w:pPr>
        <w:spacing w:after="0" w:line="157" w:lineRule="exact"/>
        <w:rPr>
          <w:sz w:val="20"/>
          <w:szCs w:val="20"/>
          <w:color w:val="auto"/>
        </w:rPr>
      </w:pPr>
    </w:p>
    <w:p>
      <w:pPr>
        <w:jc w:val="both"/>
        <w:ind w:left="40" w:right="59" w:firstLine="601"/>
        <w:spacing w:after="0" w:line="272"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w:t>
      </w:r>
      <w:r>
        <w:rPr>
          <w:rFonts w:ascii="Times New Roman" w:cs="Times New Roman" w:eastAsia="Times New Roman" w:hAnsi="Times New Roman"/>
          <w:sz w:val="18"/>
          <w:szCs w:val="18"/>
          <w:color w:val="auto"/>
        </w:rPr>
        <w:t>’</w:t>
      </w:r>
      <w:r>
        <w:rPr>
          <w:rFonts w:ascii="Arial" w:cs="Arial" w:eastAsia="Arial" w:hAnsi="Arial"/>
          <w:sz w:val="18"/>
          <w:szCs w:val="18"/>
          <w:color w:val="auto"/>
        </w:rPr>
        <w:t>s text, rather than such titles or headings, will control.</w:t>
      </w:r>
    </w:p>
    <w:p>
      <w:pPr>
        <w:spacing w:after="0" w:line="144" w:lineRule="exact"/>
        <w:rPr>
          <w:sz w:val="20"/>
          <w:szCs w:val="20"/>
          <w:color w:val="auto"/>
        </w:rPr>
      </w:pPr>
    </w:p>
    <w:p>
      <w:pPr>
        <w:jc w:val="both"/>
        <w:ind w:left="40" w:right="59" w:firstLine="601"/>
        <w:spacing w:after="0" w:line="23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Conformity to Applicable Laws</w:t>
      </w:r>
      <w:r>
        <w:rPr>
          <w:rFonts w:ascii="Arial" w:cs="Arial" w:eastAsia="Arial" w:hAnsi="Arial"/>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 For the avoidance of doubt and notwithstanding anything herein to the contrary, any provisions relating to exculpation or indemnification of directors, officers, employees or others under the Plan and all Awards will be administered and construed in accordance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52" w:name="page53"/>
    <w:bookmarkEnd w:id="52"/>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with Applicable Laws and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certificate of incorporation, bylaws, and other governing documents.</w:t>
      </w:r>
    </w:p>
    <w:p>
      <w:pPr>
        <w:spacing w:after="0" w:line="188"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57"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Plan (as amended and restated) will be submitted for the approval of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stockholders within twelve (12) months after the date of the Board</w:t>
      </w:r>
      <w:r>
        <w:rPr>
          <w:rFonts w:ascii="Times New Roman" w:cs="Times New Roman" w:eastAsia="Times New Roman" w:hAnsi="Times New Roman"/>
          <w:sz w:val="18"/>
          <w:szCs w:val="18"/>
          <w:color w:val="auto"/>
        </w:rPr>
        <w:t>’</w:t>
      </w:r>
      <w:r>
        <w:rPr>
          <w:rFonts w:ascii="Arial" w:cs="Arial" w:eastAsia="Arial" w:hAnsi="Arial"/>
          <w:sz w:val="18"/>
          <w:szCs w:val="18"/>
          <w:color w:val="auto"/>
        </w:rPr>
        <w:t>s initial adoption of the Plan (as amended and restated). Awards may be granted or awarded under the Plan (as amended and restated) and subject to the terms and conditions of the Original Plan following the Board</w:t>
      </w:r>
      <w:r>
        <w:rPr>
          <w:rFonts w:ascii="Times New Roman" w:cs="Times New Roman" w:eastAsia="Times New Roman" w:hAnsi="Times New Roman"/>
          <w:sz w:val="18"/>
          <w:szCs w:val="18"/>
          <w:color w:val="auto"/>
        </w:rPr>
        <w:t>’</w:t>
      </w:r>
      <w:r>
        <w:rPr>
          <w:rFonts w:ascii="Arial" w:cs="Arial" w:eastAsia="Arial" w:hAnsi="Arial"/>
          <w:sz w:val="18"/>
          <w:szCs w:val="18"/>
          <w:color w:val="auto"/>
        </w:rPr>
        <w:t>s adoption of the Plan (as amended and restated) unless and until the Plan (as amended and restated) receives stockholder approval. Awards granted from and after stockholder approval of the Plan (as amended and restated) will be subject to the terms and conditions of the Plan (as amended and restated). If the Plan (as amended and restated) is not approved by stockholders within twelve (12) months after its adoption by the Board, then the Original Plan shall continue on its existing terms and conditions and the Plan (as amended and restated) shall be of no force or effect.</w:t>
      </w:r>
    </w:p>
    <w:p>
      <w:pPr>
        <w:spacing w:after="0" w:line="36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ARTICLE XI.</w:t>
      </w:r>
    </w:p>
    <w:p>
      <w:pPr>
        <w:spacing w:after="0" w:line="1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DEFINITIONS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the Plan, the following words and phrases will have the following meanings:</w:t>
      </w:r>
    </w:p>
    <w:p>
      <w:pPr>
        <w:spacing w:after="0" w:line="194"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11.1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Administrator</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the Board or a Committee to the extent that the Board</w:t>
      </w:r>
      <w:r>
        <w:rPr>
          <w:rFonts w:ascii="Times New Roman" w:cs="Times New Roman" w:eastAsia="Times New Roman" w:hAnsi="Times New Roman"/>
          <w:sz w:val="18"/>
          <w:szCs w:val="18"/>
          <w:color w:val="auto"/>
        </w:rPr>
        <w:t>’</w:t>
      </w:r>
      <w:r>
        <w:rPr>
          <w:rFonts w:ascii="Arial" w:cs="Arial" w:eastAsia="Arial" w:hAnsi="Arial"/>
          <w:sz w:val="18"/>
          <w:szCs w:val="18"/>
          <w:color w:val="auto"/>
        </w:rPr>
        <w:t>s powers or authority under the Plan have been delegated to such Committee.</w:t>
      </w:r>
    </w:p>
    <w:p>
      <w:pPr>
        <w:spacing w:after="0" w:line="119" w:lineRule="exact"/>
        <w:rPr>
          <w:sz w:val="20"/>
          <w:szCs w:val="20"/>
          <w:color w:val="auto"/>
        </w:rPr>
      </w:pPr>
    </w:p>
    <w:p>
      <w:pPr>
        <w:jc w:val="both"/>
        <w:ind w:left="40" w:right="59" w:firstLine="601"/>
        <w:spacing w:after="0" w:line="246" w:lineRule="auto"/>
        <w:rPr>
          <w:sz w:val="20"/>
          <w:szCs w:val="20"/>
          <w:color w:val="auto"/>
        </w:rPr>
      </w:pPr>
      <w:r>
        <w:rPr>
          <w:rFonts w:ascii="Arial" w:cs="Arial" w:eastAsia="Arial" w:hAnsi="Arial"/>
          <w:sz w:val="18"/>
          <w:szCs w:val="18"/>
          <w:color w:val="auto"/>
        </w:rPr>
        <w:t xml:space="preserve">11.2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Applicable Laws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the requirements relating to the administration of equity incentive plans under U.S. federal and state securities, corporate,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365" w:lineRule="exact"/>
        <w:rPr>
          <w:sz w:val="20"/>
          <w:szCs w:val="20"/>
          <w:color w:val="auto"/>
        </w:rPr>
      </w:pPr>
    </w:p>
    <w:p>
      <w:pPr>
        <w:jc w:val="both"/>
        <w:ind w:left="40" w:right="59" w:firstLine="601"/>
        <w:spacing w:after="0" w:line="265" w:lineRule="auto"/>
        <w:rPr>
          <w:sz w:val="20"/>
          <w:szCs w:val="20"/>
          <w:color w:val="auto"/>
        </w:rPr>
      </w:pPr>
      <w:r>
        <w:rPr>
          <w:rFonts w:ascii="Arial" w:cs="Arial" w:eastAsia="Arial" w:hAnsi="Arial"/>
          <w:sz w:val="18"/>
          <w:szCs w:val="18"/>
          <w:color w:val="auto"/>
        </w:rPr>
        <w:t xml:space="preserve">11.3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Award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individually or collectively, a grant under the Plan of Options, Stock Appreciation Rights, Restricted Stock, Restricted Stock Units, Dividend Equivalents, or Other Stock or Cash Based Awards.</w:t>
      </w:r>
    </w:p>
    <w:p>
      <w:pPr>
        <w:spacing w:after="0" w:line="356" w:lineRule="exact"/>
        <w:rPr>
          <w:sz w:val="20"/>
          <w:szCs w:val="20"/>
          <w:color w:val="auto"/>
        </w:rPr>
      </w:pPr>
    </w:p>
    <w:p>
      <w:pPr>
        <w:jc w:val="both"/>
        <w:ind w:left="40" w:right="59" w:firstLine="601"/>
        <w:spacing w:after="0" w:line="259" w:lineRule="auto"/>
        <w:rPr>
          <w:sz w:val="20"/>
          <w:szCs w:val="20"/>
          <w:color w:val="auto"/>
        </w:rPr>
      </w:pPr>
      <w:r>
        <w:rPr>
          <w:rFonts w:ascii="Arial" w:cs="Arial" w:eastAsia="Arial" w:hAnsi="Arial"/>
          <w:sz w:val="18"/>
          <w:szCs w:val="18"/>
          <w:color w:val="auto"/>
        </w:rPr>
        <w:t xml:space="preserve">11.4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Award Agreement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 written agreement evidencing an Award, which may be electronic, that contains such terms and conditions as the Administrator determines, consistent with and subject to the terms and conditions of the Plan.</w:t>
      </w:r>
    </w:p>
    <w:p>
      <w:pPr>
        <w:spacing w:after="0" w:line="143"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11.5</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Board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the Board of Directors of the Company.</w:t>
      </w:r>
    </w:p>
    <w:p>
      <w:pPr>
        <w:spacing w:after="0" w:line="20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11.6</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and includes each of the following:</w:t>
      </w:r>
    </w:p>
    <w:p>
      <w:pPr>
        <w:spacing w:after="0" w:line="206" w:lineRule="exact"/>
        <w:rPr>
          <w:sz w:val="20"/>
          <w:szCs w:val="20"/>
          <w:color w:val="auto"/>
        </w:rPr>
      </w:pPr>
    </w:p>
    <w:p>
      <w:pPr>
        <w:jc w:val="both"/>
        <w:ind w:left="40" w:right="59" w:firstLine="1207"/>
        <w:spacing w:after="0" w:line="250" w:lineRule="auto"/>
        <w:tabs>
          <w:tab w:leader="none" w:pos="18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w:t>
      </w:r>
      <w:r>
        <w:rPr>
          <w:rFonts w:ascii="Times New Roman" w:cs="Times New Roman" w:eastAsia="Times New Roman" w:hAnsi="Times New Roman"/>
          <w:sz w:val="18"/>
          <w:szCs w:val="18"/>
          <w:color w:val="auto"/>
        </w:rPr>
        <w:t>“</w:t>
      </w:r>
      <w:r>
        <w:rPr>
          <w:rFonts w:ascii="Arial" w:cs="Arial" w:eastAsia="Arial" w:hAnsi="Arial"/>
          <w:sz w:val="18"/>
          <w:szCs w:val="18"/>
          <w:color w:val="auto"/>
        </w:rPr>
        <w:t>person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or related </w:t>
      </w:r>
      <w:r>
        <w:rPr>
          <w:rFonts w:ascii="Times New Roman" w:cs="Times New Roman" w:eastAsia="Times New Roman" w:hAnsi="Times New Roman"/>
          <w:sz w:val="18"/>
          <w:szCs w:val="18"/>
          <w:color w:val="auto"/>
        </w:rPr>
        <w:t>“</w:t>
      </w:r>
      <w:r>
        <w:rPr>
          <w:rFonts w:ascii="Arial" w:cs="Arial" w:eastAsia="Arial" w:hAnsi="Arial"/>
          <w:sz w:val="18"/>
          <w:szCs w:val="18"/>
          <w:color w:val="auto"/>
        </w:rPr>
        <w:t>group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of </w:t>
      </w:r>
      <w:r>
        <w:rPr>
          <w:rFonts w:ascii="Times New Roman" w:cs="Times New Roman" w:eastAsia="Times New Roman" w:hAnsi="Times New Roman"/>
          <w:sz w:val="18"/>
          <w:szCs w:val="18"/>
          <w:color w:val="auto"/>
        </w:rPr>
        <w:t>“</w:t>
      </w:r>
      <w:r>
        <w:rPr>
          <w:rFonts w:ascii="Arial" w:cs="Arial" w:eastAsia="Arial" w:hAnsi="Arial"/>
          <w:sz w:val="18"/>
          <w:szCs w:val="18"/>
          <w:color w:val="auto"/>
        </w:rPr>
        <w:t>persons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(as such terms are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53" w:name="page54"/>
    <w:bookmarkEnd w:id="53"/>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8"/>
          <w:szCs w:val="18"/>
          <w:color w:val="auto"/>
        </w:rPr>
        <w:t xml:space="preserve">used in Sections 13(d) and 14(d)(2) of the Exchange Act) (other than the Company, any of its Subsidiaries, an employee benefit plan maintained by the Company or any of its Subsidiaries or a </w:t>
      </w:r>
      <w:r>
        <w:rPr>
          <w:rFonts w:ascii="Times New Roman" w:cs="Times New Roman" w:eastAsia="Times New Roman" w:hAnsi="Times New Roman"/>
          <w:sz w:val="18"/>
          <w:szCs w:val="18"/>
          <w:color w:val="auto"/>
        </w:rPr>
        <w:t>“</w:t>
      </w:r>
      <w:r>
        <w:rPr>
          <w:rFonts w:ascii="Arial" w:cs="Arial" w:eastAsia="Arial" w:hAnsi="Arial"/>
          <w:sz w:val="18"/>
          <w:szCs w:val="18"/>
          <w:color w:val="auto"/>
        </w:rPr>
        <w:t>person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securities outstanding immediately after such acquisition; or</w:t>
      </w:r>
    </w:p>
    <w:p>
      <w:pPr>
        <w:spacing w:after="0" w:line="174" w:lineRule="exact"/>
        <w:rPr>
          <w:sz w:val="20"/>
          <w:szCs w:val="20"/>
          <w:color w:val="auto"/>
        </w:rPr>
      </w:pPr>
    </w:p>
    <w:p>
      <w:pPr>
        <w:jc w:val="both"/>
        <w:ind w:left="40" w:right="59" w:firstLine="1207"/>
        <w:spacing w:after="0" w:line="239" w:lineRule="auto"/>
        <w:tabs>
          <w:tab w:leader="none" w:pos="184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w:t>
      </w:r>
    </w:p>
    <w:p>
      <w:pPr>
        <w:ind w:left="360" w:hanging="316"/>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 (c)) whose election by the Board or nomination for election by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stockholders was</w:t>
      </w:r>
    </w:p>
    <w:p>
      <w:pPr>
        <w:spacing w:after="0" w:line="5" w:lineRule="exact"/>
        <w:rPr>
          <w:sz w:val="20"/>
          <w:szCs w:val="20"/>
          <w:color w:val="auto"/>
        </w:rPr>
      </w:pPr>
    </w:p>
    <w:p>
      <w:pPr>
        <w:jc w:val="both"/>
        <w:ind w:left="40" w:right="59"/>
        <w:spacing w:after="0" w:line="242" w:lineRule="auto"/>
        <w:rPr>
          <w:sz w:val="20"/>
          <w:szCs w:val="20"/>
          <w:color w:val="auto"/>
        </w:rPr>
      </w:pPr>
      <w:r>
        <w:rPr>
          <w:rFonts w:ascii="Arial" w:cs="Arial" w:eastAsia="Arial" w:hAnsi="Arial"/>
          <w:sz w:val="18"/>
          <w:szCs w:val="18"/>
          <w:color w:val="auto"/>
        </w:rPr>
        <w:t>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57" w:lineRule="exact"/>
        <w:rPr>
          <w:sz w:val="20"/>
          <w:szCs w:val="20"/>
          <w:color w:val="auto"/>
        </w:rPr>
      </w:pPr>
    </w:p>
    <w:p>
      <w:pPr>
        <w:jc w:val="both"/>
        <w:ind w:left="40" w:right="59" w:firstLine="1207"/>
        <w:spacing w:after="0" w:line="253" w:lineRule="auto"/>
        <w:tabs>
          <w:tab w:leader="none" w:pos="18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assets in any single transaction or series of related transactions or (z) the acquisition of assets or stock of another entity, in each case other than a transaction:</w:t>
      </w:r>
    </w:p>
    <w:p>
      <w:pPr>
        <w:spacing w:after="0" w:line="148" w:lineRule="exact"/>
        <w:rPr>
          <w:rFonts w:ascii="Arial" w:cs="Arial" w:eastAsia="Arial" w:hAnsi="Arial"/>
          <w:sz w:val="18"/>
          <w:szCs w:val="18"/>
          <w:color w:val="auto"/>
        </w:rPr>
      </w:pPr>
    </w:p>
    <w:p>
      <w:pPr>
        <w:jc w:val="both"/>
        <w:ind w:left="40" w:right="59" w:firstLine="1808"/>
        <w:spacing w:after="0" w:line="248" w:lineRule="auto"/>
        <w:tabs>
          <w:tab w:leader="none" w:pos="24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which results in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assets or otherwise succeeds to the business of the Company (the Company or such person, the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Successor Entity</w:t>
      </w:r>
      <w:r>
        <w:rPr>
          <w:rFonts w:ascii="Times New Roman" w:cs="Times New Roman" w:eastAsia="Times New Roman" w:hAnsi="Times New Roman"/>
          <w:sz w:val="18"/>
          <w:szCs w:val="18"/>
          <w:color w:val="auto"/>
        </w:rPr>
        <w:t>”</w:t>
      </w:r>
      <w:r>
        <w:rPr>
          <w:rFonts w:ascii="Arial" w:cs="Arial" w:eastAsia="Arial" w:hAnsi="Arial"/>
          <w:sz w:val="18"/>
          <w:szCs w:val="18"/>
          <w:color w:val="auto"/>
        </w:rPr>
        <w:t>)) directly or indirectly, at least a majority of the combined voting power of the Successor Entity</w:t>
      </w:r>
      <w:r>
        <w:rPr>
          <w:rFonts w:ascii="Times New Roman" w:cs="Times New Roman" w:eastAsia="Times New Roman" w:hAnsi="Times New Roman"/>
          <w:sz w:val="18"/>
          <w:szCs w:val="18"/>
          <w:color w:val="auto"/>
        </w:rPr>
        <w:t>’</w:t>
      </w:r>
      <w:r>
        <w:rPr>
          <w:rFonts w:ascii="Arial" w:cs="Arial" w:eastAsia="Arial" w:hAnsi="Arial"/>
          <w:sz w:val="18"/>
          <w:szCs w:val="18"/>
          <w:color w:val="auto"/>
        </w:rPr>
        <w:t>s outstanding voting securities immediately after the transaction, and</w:t>
      </w:r>
    </w:p>
    <w:p>
      <w:pPr>
        <w:spacing w:after="0" w:line="152" w:lineRule="exact"/>
        <w:rPr>
          <w:rFonts w:ascii="Arial" w:cs="Arial" w:eastAsia="Arial" w:hAnsi="Arial"/>
          <w:sz w:val="18"/>
          <w:szCs w:val="18"/>
          <w:color w:val="auto"/>
        </w:rPr>
      </w:pPr>
    </w:p>
    <w:p>
      <w:pPr>
        <w:jc w:val="both"/>
        <w:ind w:left="40" w:right="59" w:firstLine="1808"/>
        <w:spacing w:after="0" w:line="242" w:lineRule="auto"/>
        <w:tabs>
          <w:tab w:leader="none" w:pos="24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59" w:lineRule="exact"/>
        <w:rPr>
          <w:sz w:val="20"/>
          <w:szCs w:val="20"/>
          <w:color w:val="auto"/>
        </w:rPr>
      </w:pPr>
    </w:p>
    <w:p>
      <w:pPr>
        <w:jc w:val="both"/>
        <w:ind w:left="40" w:right="59" w:firstLine="601"/>
        <w:spacing w:after="0" w:line="249" w:lineRule="auto"/>
        <w:rPr>
          <w:sz w:val="20"/>
          <w:szCs w:val="20"/>
          <w:color w:val="auto"/>
        </w:rPr>
      </w:pPr>
      <w:r>
        <w:rPr>
          <w:rFonts w:ascii="Arial" w:cs="Arial" w:eastAsia="Arial" w:hAnsi="Arial"/>
          <w:sz w:val="18"/>
          <w:szCs w:val="18"/>
          <w:color w:val="auto"/>
        </w:rPr>
        <w:t xml:space="preserve">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(or portion thereof) if such transaction also constitutes a </w:t>
      </w:r>
      <w:r>
        <w:rPr>
          <w:rFonts w:ascii="Times New Roman" w:cs="Times New Roman" w:eastAsia="Times New Roman" w:hAnsi="Times New Roman"/>
          <w:sz w:val="18"/>
          <w:szCs w:val="18"/>
          <w:color w:val="auto"/>
        </w:rPr>
        <w:t>“</w:t>
      </w:r>
      <w:r>
        <w:rPr>
          <w:rFonts w:ascii="Arial" w:cs="Arial" w:eastAsia="Arial" w:hAnsi="Arial"/>
          <w:sz w:val="18"/>
          <w:szCs w:val="18"/>
          <w:color w:val="auto"/>
        </w:rPr>
        <w:t>change in control event,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as defined in Treasury Regulation Section 1.409A-3(i)(5).</w:t>
      </w:r>
    </w:p>
    <w:p>
      <w:pPr>
        <w:spacing w:after="0" w:line="164"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54" w:name="page55"/>
    <w:bookmarkEnd w:id="54"/>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 xml:space="preserve">provided that any exercise of authority in conjunction with a determination of whether a Change in Control is a </w:t>
      </w:r>
      <w:r>
        <w:rPr>
          <w:rFonts w:ascii="Times New Roman" w:cs="Times New Roman" w:eastAsia="Times New Roman" w:hAnsi="Times New Roman"/>
          <w:sz w:val="18"/>
          <w:szCs w:val="18"/>
          <w:color w:val="auto"/>
        </w:rPr>
        <w:t>“</w:t>
      </w:r>
      <w:r>
        <w:rPr>
          <w:rFonts w:ascii="Arial" w:cs="Arial" w:eastAsia="Arial" w:hAnsi="Arial"/>
          <w:sz w:val="18"/>
          <w:szCs w:val="18"/>
          <w:color w:val="auto"/>
        </w:rPr>
        <w:t>change in control event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as defined in Treasury Regulation Section 1.409A-3(i)(5) shall be consistent with</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such regulation.</w:t>
      </w:r>
    </w:p>
    <w:p>
      <w:pPr>
        <w:spacing w:after="0" w:line="151"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11.7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Code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the Internal Revenue Code of 1986, as amended, and the regulations issued thereunder.</w:t>
      </w:r>
    </w:p>
    <w:p>
      <w:pPr>
        <w:spacing w:after="0" w:line="119"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11.8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Committee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w:t>
      </w:r>
      <w:r>
        <w:rPr>
          <w:rFonts w:ascii="Times New Roman" w:cs="Times New Roman" w:eastAsia="Times New Roman" w:hAnsi="Times New Roman"/>
          <w:sz w:val="18"/>
          <w:szCs w:val="18"/>
          <w:color w:val="auto"/>
        </w:rPr>
        <w:t>“</w:t>
      </w:r>
      <w:r>
        <w:rPr>
          <w:rFonts w:ascii="Arial" w:cs="Arial" w:eastAsia="Arial" w:hAnsi="Arial"/>
          <w:sz w:val="18"/>
          <w:szCs w:val="18"/>
          <w:color w:val="auto"/>
        </w:rPr>
        <w:t>non-employee director</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within the meaning of Rule 16b-3; however, a Committee member</w:t>
      </w:r>
      <w:r>
        <w:rPr>
          <w:rFonts w:ascii="Times New Roman" w:cs="Times New Roman" w:eastAsia="Times New Roman" w:hAnsi="Times New Roman"/>
          <w:sz w:val="18"/>
          <w:szCs w:val="18"/>
          <w:color w:val="auto"/>
        </w:rPr>
        <w:t>’</w:t>
      </w:r>
      <w:r>
        <w:rPr>
          <w:rFonts w:ascii="Arial" w:cs="Arial" w:eastAsia="Arial" w:hAnsi="Arial"/>
          <w:sz w:val="18"/>
          <w:szCs w:val="18"/>
          <w:color w:val="auto"/>
        </w:rPr>
        <w:t>s failure to qualify</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as a </w:t>
      </w:r>
      <w:r>
        <w:rPr>
          <w:rFonts w:ascii="Times New Roman" w:cs="Times New Roman" w:eastAsia="Times New Roman" w:hAnsi="Times New Roman"/>
          <w:sz w:val="18"/>
          <w:szCs w:val="18"/>
          <w:color w:val="auto"/>
        </w:rPr>
        <w:t>“</w:t>
      </w:r>
      <w:r>
        <w:rPr>
          <w:rFonts w:ascii="Arial" w:cs="Arial" w:eastAsia="Arial" w:hAnsi="Arial"/>
          <w:sz w:val="18"/>
          <w:szCs w:val="18"/>
          <w:color w:val="auto"/>
        </w:rPr>
        <w:t>non-employee director</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within the meaning of Rule 16b-3 will not invalidate any Award granted by the Committee that is otherwise validly granted under the Plan.</w:t>
      </w:r>
    </w:p>
    <w:p>
      <w:pPr>
        <w:spacing w:after="0" w:line="158"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11.9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Common Stock</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the Class A common stock of the Company, par value of $0.0001 per share.</w:t>
      </w:r>
    </w:p>
    <w:p>
      <w:pPr>
        <w:spacing w:after="0" w:line="119"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11.10</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AEON Biopharma, Inc., a Delaware corporation, or any successor.</w:t>
      </w:r>
    </w:p>
    <w:p>
      <w:pPr>
        <w:spacing w:after="0" w:line="206" w:lineRule="exact"/>
        <w:rPr>
          <w:sz w:val="20"/>
          <w:szCs w:val="20"/>
          <w:color w:val="auto"/>
        </w:rPr>
      </w:pPr>
    </w:p>
    <w:p>
      <w:pPr>
        <w:jc w:val="both"/>
        <w:ind w:left="40" w:right="59" w:firstLine="601"/>
        <w:spacing w:after="0" w:line="259" w:lineRule="auto"/>
        <w:rPr>
          <w:sz w:val="20"/>
          <w:szCs w:val="20"/>
          <w:color w:val="auto"/>
        </w:rPr>
      </w:pPr>
      <w:r>
        <w:rPr>
          <w:rFonts w:ascii="Arial" w:cs="Arial" w:eastAsia="Arial" w:hAnsi="Arial"/>
          <w:sz w:val="18"/>
          <w:szCs w:val="18"/>
          <w:color w:val="auto"/>
        </w:rPr>
        <w:t xml:space="preserve">11.11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Consultant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any consultant or advisor, engaged by the Company or any of its Subsidiaries to render services to such entity, who qualifies as a consultant or advisor under the applicable rules of Form S-8 Registration Statement.</w:t>
      </w:r>
    </w:p>
    <w:p>
      <w:pPr>
        <w:spacing w:after="0" w:line="143" w:lineRule="exact"/>
        <w:rPr>
          <w:sz w:val="20"/>
          <w:szCs w:val="20"/>
          <w:color w:val="auto"/>
        </w:rPr>
      </w:pPr>
    </w:p>
    <w:p>
      <w:pPr>
        <w:jc w:val="both"/>
        <w:ind w:left="40" w:right="59" w:firstLine="601"/>
        <w:spacing w:after="0" w:line="259" w:lineRule="auto"/>
        <w:rPr>
          <w:sz w:val="20"/>
          <w:szCs w:val="20"/>
          <w:color w:val="auto"/>
        </w:rPr>
      </w:pPr>
      <w:r>
        <w:rPr>
          <w:rFonts w:ascii="Arial" w:cs="Arial" w:eastAsia="Arial" w:hAnsi="Arial"/>
          <w:sz w:val="18"/>
          <w:szCs w:val="18"/>
          <w:color w:val="auto"/>
        </w:rPr>
        <w:t xml:space="preserve">11.12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Designated Beneficiary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the beneficiary or beneficiaries the Participant designates, in a manner the Administrator determines, to receive amounts due or exercise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if the Participant dies or becomes incapacitated. Without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effective designation, </w:t>
      </w:r>
      <w:r>
        <w:rPr>
          <w:rFonts w:ascii="Times New Roman" w:cs="Times New Roman" w:eastAsia="Times New Roman" w:hAnsi="Times New Roman"/>
          <w:sz w:val="18"/>
          <w:szCs w:val="18"/>
          <w:color w:val="auto"/>
        </w:rPr>
        <w:t>“</w:t>
      </w:r>
      <w:r>
        <w:rPr>
          <w:rFonts w:ascii="Arial" w:cs="Arial" w:eastAsia="Arial" w:hAnsi="Arial"/>
          <w:sz w:val="18"/>
          <w:szCs w:val="18"/>
          <w:color w:val="auto"/>
        </w:rPr>
        <w:t>Designated Beneficiary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will mean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estate.</w:t>
      </w:r>
    </w:p>
    <w:p>
      <w:pPr>
        <w:spacing w:after="0" w:line="155"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11.13</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Director</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a Board member.</w:t>
      </w:r>
    </w:p>
    <w:p>
      <w:pPr>
        <w:spacing w:after="0" w:line="206"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11.14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Dividend Equivalents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 right granted to a Participant under the Plan to receive the equivalent value (in cash or Shares) of dividends paid on Shares.</w:t>
      </w:r>
    </w:p>
    <w:p>
      <w:pPr>
        <w:spacing w:after="0" w:line="119"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11.15</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Employee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any employee of the Company or its Subsidiaries.</w:t>
      </w:r>
    </w:p>
    <w:p>
      <w:pPr>
        <w:spacing w:after="0" w:line="206" w:lineRule="exact"/>
        <w:rPr>
          <w:sz w:val="20"/>
          <w:szCs w:val="20"/>
          <w:color w:val="auto"/>
        </w:rPr>
      </w:pPr>
    </w:p>
    <w:p>
      <w:pPr>
        <w:jc w:val="both"/>
        <w:ind w:left="40" w:right="59" w:firstLine="601"/>
        <w:spacing w:after="0" w:line="243" w:lineRule="auto"/>
        <w:rPr>
          <w:sz w:val="20"/>
          <w:szCs w:val="20"/>
          <w:color w:val="auto"/>
        </w:rPr>
      </w:pPr>
      <w:r>
        <w:rPr>
          <w:rFonts w:ascii="Arial" w:cs="Arial" w:eastAsia="Arial" w:hAnsi="Arial"/>
          <w:sz w:val="18"/>
          <w:szCs w:val="18"/>
          <w:color w:val="auto"/>
        </w:rPr>
        <w:t xml:space="preserve">11.16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Equity Restructuring</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36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11.17</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Exchange Act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the Securities Exchange Act of 1934, as amended.</w:t>
      </w:r>
    </w:p>
    <w:p>
      <w:pPr>
        <w:spacing w:after="0" w:line="206"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11.18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Fair Market Value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as of any date, the value of a Share of Common Stock determined as follows: (a) if the Common Stock is listed on any established stock exchange, its Fair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55" w:name="page56"/>
    <w:bookmarkEnd w:id="55"/>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spacing w:after="0" w:line="237" w:lineRule="auto"/>
        <w:rPr>
          <w:sz w:val="20"/>
          <w:szCs w:val="20"/>
          <w:color w:val="auto"/>
        </w:rPr>
      </w:pPr>
      <w:r>
        <w:rPr>
          <w:rFonts w:ascii="Arial" w:cs="Arial" w:eastAsia="Arial" w:hAnsi="Arial"/>
          <w:sz w:val="18"/>
          <w:szCs w:val="18"/>
          <w:color w:val="auto"/>
        </w:rPr>
        <w:t xml:space="preserve">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another source the Administrator deems reliable; or (c) without an established market for the Common Stock, the Administrator will determine the Fair Market Value in its discretion.</w:t>
      </w:r>
    </w:p>
    <w:p>
      <w:pPr>
        <w:spacing w:after="0" w:line="163"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11.19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Fully-Diluted Shares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as of any given date, (i) shares of Preferred Stock and shares of Common Stock outstanding on such date, (ii) shares of Common Stock subject to compensatory equity awards (including stock options and restricted stock units) outstanding on such date, with (A) performance-based compensatory equity awards calculated at the </w:t>
      </w:r>
      <w:r>
        <w:rPr>
          <w:rFonts w:ascii="Times New Roman" w:cs="Times New Roman" w:eastAsia="Times New Roman" w:hAnsi="Times New Roman"/>
          <w:sz w:val="18"/>
          <w:szCs w:val="18"/>
          <w:color w:val="auto"/>
        </w:rPr>
        <w:t>“</w:t>
      </w:r>
      <w:r>
        <w:rPr>
          <w:rFonts w:ascii="Arial" w:cs="Arial" w:eastAsia="Arial" w:hAnsi="Arial"/>
          <w:sz w:val="18"/>
          <w:szCs w:val="18"/>
          <w:color w:val="auto"/>
        </w:rPr>
        <w:t>target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level of performance and (B) shares of Common Stock subject to stock options calculated on a </w:t>
      </w:r>
      <w:r>
        <w:rPr>
          <w:rFonts w:ascii="Times New Roman" w:cs="Times New Roman" w:eastAsia="Times New Roman" w:hAnsi="Times New Roman"/>
          <w:sz w:val="18"/>
          <w:szCs w:val="18"/>
          <w:color w:val="auto"/>
        </w:rPr>
        <w:t>“</w:t>
      </w:r>
      <w:r>
        <w:rPr>
          <w:rFonts w:ascii="Arial" w:cs="Arial" w:eastAsia="Arial" w:hAnsi="Arial"/>
          <w:sz w:val="18"/>
          <w:szCs w:val="18"/>
          <w:color w:val="auto"/>
        </w:rPr>
        <w:t>net exercised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basis as of the applicable date, assuming shares are surrendered having a Fair Market Value on such date equal to the exercise price of such options (rounded up to the nearest whole Share, and determined without regard to the vested status of the stock option) and (iii) shares issuable upon the exercise or settlement of other equity securities (including Pre-Funded Warrants) with respect to which shares of Common Stock have not actually been issued and the conversion of all convertible securities into shares of Common Stock, in each case, counted on an as-converted-to shares of Common Stock basis; provided, however, that shares of Common Stock subject to warrants outstanding on such date other than Pre-Funded Warrants shall not be included in the determination of Fully-Diluted Shares.</w:t>
      </w:r>
    </w:p>
    <w:p>
      <w:pPr>
        <w:spacing w:after="0" w:line="357" w:lineRule="exact"/>
        <w:rPr>
          <w:sz w:val="20"/>
          <w:szCs w:val="20"/>
          <w:color w:val="auto"/>
        </w:rPr>
      </w:pPr>
    </w:p>
    <w:p>
      <w:pPr>
        <w:jc w:val="both"/>
        <w:ind w:left="40" w:right="59" w:firstLine="601"/>
        <w:spacing w:after="0" w:line="262" w:lineRule="auto"/>
        <w:rPr>
          <w:sz w:val="20"/>
          <w:szCs w:val="20"/>
          <w:color w:val="auto"/>
        </w:rPr>
      </w:pPr>
      <w:r>
        <w:rPr>
          <w:rFonts w:ascii="Arial" w:cs="Arial" w:eastAsia="Arial" w:hAnsi="Arial"/>
          <w:sz w:val="18"/>
          <w:szCs w:val="18"/>
          <w:color w:val="auto"/>
        </w:rPr>
        <w:t xml:space="preserve">11.20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Greater Than 10% Stockholder</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361"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11.21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Incentive Stock Option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an Option intended to qualify as an </w:t>
      </w:r>
      <w:r>
        <w:rPr>
          <w:rFonts w:ascii="Times New Roman" w:cs="Times New Roman" w:eastAsia="Times New Roman" w:hAnsi="Times New Roman"/>
          <w:sz w:val="18"/>
          <w:szCs w:val="18"/>
          <w:color w:val="auto"/>
        </w:rPr>
        <w:t>“</w:t>
      </w:r>
      <w:r>
        <w:rPr>
          <w:rFonts w:ascii="Arial" w:cs="Arial" w:eastAsia="Arial" w:hAnsi="Arial"/>
          <w:sz w:val="18"/>
          <w:szCs w:val="18"/>
          <w:color w:val="auto"/>
        </w:rPr>
        <w:t>incentive stock option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as defined in Section 422 of the Code.</w:t>
      </w:r>
    </w:p>
    <w:p>
      <w:pPr>
        <w:spacing w:after="0" w:line="132"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11.22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Non-Qualified Stock Option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an Option, or portion thereof, not intended or not qualifying as an Incentive Stock Option.</w:t>
      </w:r>
    </w:p>
    <w:p>
      <w:pPr>
        <w:spacing w:after="0" w:line="119"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11.23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Option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an option to purchase Shares, which will either be an Incentive Stock Option or a Non-Qualified Stock Option.</w:t>
      </w:r>
    </w:p>
    <w:p>
      <w:pPr>
        <w:spacing w:after="0" w:line="119" w:lineRule="exact"/>
        <w:rPr>
          <w:sz w:val="20"/>
          <w:szCs w:val="20"/>
          <w:color w:val="auto"/>
        </w:rPr>
      </w:pPr>
    </w:p>
    <w:p>
      <w:pPr>
        <w:jc w:val="both"/>
        <w:ind w:left="40" w:right="59" w:firstLine="601"/>
        <w:spacing w:after="0" w:line="259" w:lineRule="auto"/>
        <w:rPr>
          <w:sz w:val="20"/>
          <w:szCs w:val="20"/>
          <w:color w:val="auto"/>
        </w:rPr>
      </w:pPr>
      <w:r>
        <w:rPr>
          <w:rFonts w:ascii="Arial" w:cs="Arial" w:eastAsia="Arial" w:hAnsi="Arial"/>
          <w:sz w:val="18"/>
          <w:szCs w:val="18"/>
          <w:color w:val="auto"/>
        </w:rPr>
        <w:t xml:space="preserve">11.24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Other Stock or Cash Based Awards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cash awards, awards of Shares, and other awards valued wholly or partially by referring to, or are otherwise based on, Shares or other property awarded to a Participant under Article VII.</w:t>
      </w:r>
    </w:p>
    <w:p>
      <w:pPr>
        <w:spacing w:after="0" w:line="156" w:lineRule="exact"/>
        <w:rPr>
          <w:sz w:val="20"/>
          <w:szCs w:val="20"/>
          <w:color w:val="auto"/>
        </w:rPr>
      </w:pPr>
    </w:p>
    <w:p>
      <w:pPr>
        <w:jc w:val="both"/>
        <w:ind w:left="40" w:right="59" w:firstLine="601"/>
        <w:spacing w:after="0" w:line="243" w:lineRule="auto"/>
        <w:rPr>
          <w:sz w:val="20"/>
          <w:szCs w:val="20"/>
          <w:color w:val="auto"/>
        </w:rPr>
      </w:pPr>
      <w:r>
        <w:rPr>
          <w:rFonts w:ascii="Arial" w:cs="Arial" w:eastAsia="Arial" w:hAnsi="Arial"/>
          <w:sz w:val="18"/>
          <w:szCs w:val="18"/>
          <w:color w:val="auto"/>
        </w:rPr>
        <w:t xml:space="preserve">11.25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Overall Share Limit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the sum of (a) 17,910,413 Shares, (b) any Shares which, as of the Original Effective Date, are subject to Prior Plan Awards which, on or following the Original Effective Date, become available for issuance under the Plan pursuant to Article IV (which aggregate number added to the Overall Share Limit shall not exceed 4,556,783 Shares) and (c) an annual increase on the first day of each calendar year beginning on and including January 1, 2027 and ending on and including January 1, 2033 equal to the lesser of (i) a number of Shares equal to</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56" w:name="page57"/>
    <w:bookmarkEnd w:id="56"/>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8"/>
          <w:szCs w:val="18"/>
          <w:color w:val="auto"/>
        </w:rPr>
        <w:t>5% of the number of Fully-Diluted Shares on the final day of the immediately preceding calendar year and (ii) such smaller number of Shares as is determined by the Board.</w:t>
      </w:r>
    </w:p>
    <w:p>
      <w:pPr>
        <w:spacing w:after="0" w:line="149"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11.26</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Participant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a Service Provider who has been granted an Award.</w:t>
      </w:r>
    </w:p>
    <w:p>
      <w:pPr>
        <w:spacing w:after="0" w:line="206" w:lineRule="exact"/>
        <w:rPr>
          <w:sz w:val="20"/>
          <w:szCs w:val="20"/>
          <w:color w:val="auto"/>
        </w:rPr>
      </w:pPr>
    </w:p>
    <w:p>
      <w:pPr>
        <w:jc w:val="both"/>
        <w:ind w:left="40" w:right="59" w:firstLine="601"/>
        <w:spacing w:after="0" w:line="236" w:lineRule="auto"/>
        <w:rPr>
          <w:sz w:val="20"/>
          <w:szCs w:val="20"/>
          <w:color w:val="auto"/>
        </w:rPr>
      </w:pPr>
      <w:r>
        <w:rPr>
          <w:rFonts w:ascii="Arial" w:cs="Arial" w:eastAsia="Arial" w:hAnsi="Arial"/>
          <w:sz w:val="18"/>
          <w:szCs w:val="18"/>
          <w:color w:val="auto"/>
        </w:rPr>
        <w:t xml:space="preserve">11.27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Performance Criteria</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6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11.28</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Plan</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this Amended and Restated 2023 Incentive Award Plan.</w:t>
      </w:r>
    </w:p>
    <w:p>
      <w:pPr>
        <w:spacing w:after="0" w:line="20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11.29</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Preferred Stock</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the preferred stock of the Company, par value of $0.0001 per share.</w:t>
      </w:r>
    </w:p>
    <w:p>
      <w:pPr>
        <w:spacing w:after="0" w:line="206"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11.30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Pre-Funded Warrants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any warrant to acquire shares of Common Stock for a nominal exercise price.</w:t>
      </w:r>
    </w:p>
    <w:p>
      <w:pPr>
        <w:spacing w:after="0" w:line="119"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11.31</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Prior Plan</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the AEON Biopharma, Inc. Amended and Restated 2019 Incentive Award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Plan.</w:t>
      </w:r>
    </w:p>
    <w:p>
      <w:pPr>
        <w:spacing w:after="0" w:line="176"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11.32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Prior Plan Award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an award outstanding under the Prior Plan as of the Original Effective Date.</w:t>
      </w:r>
    </w:p>
    <w:p>
      <w:pPr>
        <w:spacing w:after="0" w:line="119"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11.33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Restricted Stock</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Shares awarded to a Participant under Article VI subject to certain vesting conditions and other restrictions.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57" w:name="page58"/>
    <w:bookmarkEnd w:id="57"/>
    <w:p>
      <w:pPr>
        <w:ind w:left="79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7" w:lineRule="exact"/>
        <w:rPr>
          <w:sz w:val="20"/>
          <w:szCs w:val="20"/>
          <w:color w:val="auto"/>
        </w:rPr>
      </w:pPr>
    </w:p>
    <w:p>
      <w:pPr>
        <w:jc w:val="both"/>
        <w:ind w:left="40" w:right="59" w:firstLine="601"/>
        <w:spacing w:after="0" w:line="248" w:lineRule="auto"/>
        <w:rPr>
          <w:sz w:val="20"/>
          <w:szCs w:val="20"/>
          <w:color w:val="auto"/>
        </w:rPr>
      </w:pPr>
      <w:r>
        <w:rPr>
          <w:rFonts w:ascii="Arial" w:cs="Arial" w:eastAsia="Arial" w:hAnsi="Arial"/>
          <w:sz w:val="18"/>
          <w:szCs w:val="18"/>
          <w:color w:val="auto"/>
        </w:rPr>
        <w:t xml:space="preserve">11.34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Restricted Stock Unit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53"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11.35</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Rule 16b-3</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Rule 16b-3 promulgated under the Exchange Act.</w:t>
      </w:r>
    </w:p>
    <w:p>
      <w:pPr>
        <w:spacing w:after="0" w:line="206"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11.36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Section 409A</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Section 409A of the Code and all regulations, guidance, compliance programs and other interpretative authority thereunder.</w:t>
      </w:r>
    </w:p>
    <w:p>
      <w:pPr>
        <w:spacing w:after="0" w:line="119"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11.37</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Securities Act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the Securities Act of 1933, as amended.</w:t>
      </w:r>
    </w:p>
    <w:p>
      <w:pPr>
        <w:spacing w:after="0" w:line="20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11.38</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Service Provider</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an Employee, Consultant or Director.</w:t>
      </w:r>
    </w:p>
    <w:p>
      <w:pPr>
        <w:spacing w:after="0" w:line="20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11.39</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Shares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shares of Common Stock.</w:t>
      </w:r>
    </w:p>
    <w:p>
      <w:pPr>
        <w:spacing w:after="0" w:line="20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11.40</w:t>
      </w:r>
      <w:r>
        <w:rPr>
          <w:sz w:val="20"/>
          <w:szCs w:val="20"/>
          <w:color w:val="auto"/>
        </w:rPr>
        <w:tab/>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Stock Appreciation Right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means a stock appreciation right granted under Article V.</w:t>
      </w:r>
    </w:p>
    <w:p>
      <w:pPr>
        <w:spacing w:after="0" w:line="206"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11.41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Subsidiary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58" w:lineRule="exact"/>
        <w:rPr>
          <w:sz w:val="20"/>
          <w:szCs w:val="20"/>
          <w:color w:val="auto"/>
        </w:rPr>
      </w:pPr>
    </w:p>
    <w:p>
      <w:pPr>
        <w:jc w:val="both"/>
        <w:ind w:left="40" w:right="59" w:firstLine="601"/>
        <w:spacing w:after="0" w:line="250" w:lineRule="auto"/>
        <w:rPr>
          <w:sz w:val="20"/>
          <w:szCs w:val="20"/>
          <w:color w:val="auto"/>
        </w:rPr>
      </w:pPr>
      <w:r>
        <w:rPr>
          <w:rFonts w:ascii="Arial" w:cs="Arial" w:eastAsia="Arial" w:hAnsi="Arial"/>
          <w:sz w:val="18"/>
          <w:szCs w:val="18"/>
          <w:color w:val="auto"/>
        </w:rPr>
        <w:t xml:space="preserve">11.42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Substitute Awards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51" w:lineRule="exact"/>
        <w:rPr>
          <w:sz w:val="20"/>
          <w:szCs w:val="20"/>
          <w:color w:val="auto"/>
        </w:rPr>
      </w:pPr>
    </w:p>
    <w:p>
      <w:pPr>
        <w:jc w:val="center"/>
        <w:ind w:left="1720" w:right="360"/>
        <w:spacing w:after="0" w:line="530" w:lineRule="auto"/>
        <w:rPr>
          <w:sz w:val="20"/>
          <w:szCs w:val="20"/>
          <w:color w:val="auto"/>
        </w:rPr>
      </w:pPr>
      <w:r>
        <w:rPr>
          <w:rFonts w:ascii="Arial" w:cs="Arial" w:eastAsia="Arial" w:hAnsi="Arial"/>
          <w:sz w:val="18"/>
          <w:szCs w:val="18"/>
          <w:color w:val="auto"/>
        </w:rPr>
        <w:t xml:space="preserve">11.43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Termination of Service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the date the Participant ceases to be a Service Provider. </w:t>
      </w:r>
      <w:r>
        <w:rPr>
          <w:rFonts w:ascii="Arial" w:cs="Arial" w:eastAsia="Arial" w:hAnsi="Arial"/>
          <w:sz w:val="18"/>
          <w:szCs w:val="18"/>
          <w:b w:val="1"/>
          <w:bCs w:val="1"/>
          <w:color w:val="auto"/>
        </w:rPr>
        <w:t>* * * * *</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323850</wp:posOffset>
            </wp:positionV>
            <wp:extent cx="5662930"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9"/>
        <w:spacing w:after="0"/>
        <w:rPr>
          <w:sz w:val="20"/>
          <w:szCs w:val="20"/>
          <w:color w:val="auto"/>
        </w:rPr>
      </w:pPr>
      <w:r>
        <w:rPr>
          <w:rFonts w:ascii="Arial" w:cs="Arial" w:eastAsia="Arial" w:hAnsi="Arial"/>
          <w:sz w:val="17"/>
          <w:szCs w:val="17"/>
          <w:b w:val="1"/>
          <w:bCs w:val="1"/>
          <w:u w:val="single" w:color="auto"/>
          <w:color w:val="auto"/>
        </w:rPr>
        <w:t>APPENDIX C</w:t>
      </w:r>
    </w:p>
    <w:p>
      <w:pPr>
        <w:jc w:val="center"/>
        <w:ind w:right="19"/>
        <w:spacing w:after="0"/>
        <w:rPr>
          <w:sz w:val="20"/>
          <w:szCs w:val="20"/>
          <w:color w:val="auto"/>
        </w:rPr>
      </w:pPr>
      <w:r>
        <w:rPr>
          <w:rFonts w:ascii="Arial" w:cs="Arial" w:eastAsia="Arial" w:hAnsi="Arial"/>
          <w:sz w:val="18"/>
          <w:szCs w:val="18"/>
          <w:b w:val="1"/>
          <w:bCs w:val="1"/>
          <w:color w:val="auto"/>
        </w:rPr>
        <w:t>AEON BIOPHARMA, INC.</w:t>
      </w:r>
    </w:p>
    <w:p>
      <w:pPr>
        <w:jc w:val="center"/>
        <w:ind w:right="19"/>
        <w:spacing w:after="0"/>
        <w:rPr>
          <w:sz w:val="20"/>
          <w:szCs w:val="20"/>
          <w:color w:val="auto"/>
        </w:rPr>
      </w:pPr>
      <w:r>
        <w:rPr>
          <w:rFonts w:ascii="Arial" w:cs="Arial" w:eastAsia="Arial" w:hAnsi="Arial"/>
          <w:sz w:val="18"/>
          <w:szCs w:val="18"/>
          <w:b w:val="1"/>
          <w:bCs w:val="1"/>
          <w:color w:val="auto"/>
        </w:rPr>
        <w:t>AMENDED AND RESTATED 2023 EMPLOYEE STOCK PURCHASE PLAN</w:t>
      </w:r>
    </w:p>
    <w:p>
      <w:pPr>
        <w:spacing w:after="0" w:line="17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ARTICLE I.</w:t>
      </w:r>
    </w:p>
    <w:p>
      <w:pPr>
        <w:spacing w:after="0" w:line="1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PURPOSE</w:t>
      </w:r>
    </w:p>
    <w:p>
      <w:pPr>
        <w:spacing w:after="0" w:line="176" w:lineRule="exact"/>
        <w:rPr>
          <w:sz w:val="20"/>
          <w:szCs w:val="20"/>
          <w:color w:val="auto"/>
        </w:rPr>
      </w:pPr>
    </w:p>
    <w:p>
      <w:pPr>
        <w:jc w:val="both"/>
        <w:ind w:left="40" w:right="59" w:firstLine="601"/>
        <w:spacing w:after="0" w:line="246" w:lineRule="auto"/>
        <w:rPr>
          <w:sz w:val="20"/>
          <w:szCs w:val="20"/>
          <w:color w:val="auto"/>
        </w:rPr>
      </w:pPr>
      <w:r>
        <w:rPr>
          <w:rFonts w:ascii="Arial" w:cs="Arial" w:eastAsia="Arial" w:hAnsi="Arial"/>
          <w:sz w:val="18"/>
          <w:szCs w:val="18"/>
          <w:color w:val="auto"/>
        </w:rPr>
        <w:t xml:space="preserve">The purposes of this AEON Biopharma, Inc. Amended and Restated 2023 Employee Stock Purchase Plan (as it may be amended or restated from time to time, the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 are to assist Eligible Employees of AEON Biopharma, Inc., a Delaware corporation (the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 and its Designated Subsidiaries in acquiring a stock ownership interest in the Company pursuant to a plan which is intended to qualify as an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employee stock purchase plan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within the meaning of Section 423(b) of the Code, and to help Eligible Employees provide for their future security and to encourage them to remain in the employment of the Company and its Designated Subsidiaries. This Plan amends and restates in its entirety the AEON Biopharma, Inc. 2023 Employee Stock Purchase Plan which became effective on July 21, 2023.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CONSTRUCTION</w:t>
      </w:r>
    </w:p>
    <w:p>
      <w:pPr>
        <w:spacing w:after="0" w:line="176"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157" w:lineRule="exact"/>
        <w:rPr>
          <w:sz w:val="20"/>
          <w:szCs w:val="20"/>
          <w:color w:val="auto"/>
        </w:rPr>
      </w:pPr>
    </w:p>
    <w:p>
      <w:pPr>
        <w:jc w:val="both"/>
        <w:ind w:left="40" w:right="59" w:firstLine="601"/>
        <w:spacing w:after="0" w:line="266" w:lineRule="auto"/>
        <w:rPr>
          <w:sz w:val="20"/>
          <w:szCs w:val="20"/>
          <w:color w:val="auto"/>
        </w:rPr>
      </w:pPr>
      <w:r>
        <w:rPr>
          <w:rFonts w:ascii="Arial" w:cs="Arial" w:eastAsia="Arial" w:hAnsi="Arial"/>
          <w:sz w:val="18"/>
          <w:szCs w:val="18"/>
          <w:color w:val="auto"/>
        </w:rPr>
        <w:t xml:space="preserve">2.1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entity that conducts the general administration of the Plan as provided in Article XI. The term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Administrator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refer to the Committee unless the Board has assumed the authority for administration of the Plan as provided in Article XI.</w:t>
      </w:r>
    </w:p>
    <w:p>
      <w:pPr>
        <w:spacing w:after="0" w:line="137"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2.2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2.3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Board of Directors of the Company.</w:t>
      </w:r>
    </w:p>
    <w:p>
      <w:pPr>
        <w:sectPr>
          <w:pgSz w:w="11900" w:h="16838" w:orient="portrait"/>
          <w:cols w:equalWidth="0" w:num="1">
            <w:col w:w="9019"/>
          </w:cols>
          <w:pgMar w:left="1440" w:top="624" w:right="1440" w:bottom="178" w:gutter="0" w:footer="0" w:header="0"/>
        </w:sectPr>
      </w:pPr>
    </w:p>
    <w:bookmarkStart w:id="58" w:name="page59"/>
    <w:bookmarkEnd w:id="58"/>
    <w:p>
      <w:pPr>
        <w:ind w:left="640"/>
        <w:spacing w:after="0"/>
        <w:rPr>
          <w:sz w:val="20"/>
          <w:szCs w:val="20"/>
          <w:color w:val="auto"/>
        </w:rPr>
      </w:pPr>
      <w:r>
        <w:rPr>
          <w:rFonts w:ascii="Arial" w:cs="Arial" w:eastAsia="Arial" w:hAnsi="Arial"/>
          <w:sz w:val="18"/>
          <w:szCs w:val="18"/>
          <w:color w:val="auto"/>
        </w:rPr>
        <w:t xml:space="preserve">2.4 </w:t>
      </w:r>
      <w:r>
        <w:rPr>
          <w:rFonts w:ascii="Times New Roman" w:cs="Times New Roman" w:eastAsia="Times New Roman" w:hAnsi="Times New Roman"/>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that certain Business Combination Agreement,</w:t>
      </w:r>
    </w:p>
    <w:p>
      <w:pPr>
        <w:spacing w:after="0" w:line="28" w:lineRule="exact"/>
        <w:rPr>
          <w:sz w:val="20"/>
          <w:szCs w:val="20"/>
          <w:color w:val="auto"/>
        </w:rPr>
      </w:pPr>
    </w:p>
    <w:p>
      <w:pPr>
        <w:ind w:left="40" w:right="59"/>
        <w:spacing w:after="0" w:line="252" w:lineRule="auto"/>
        <w:rPr>
          <w:sz w:val="20"/>
          <w:szCs w:val="20"/>
          <w:color w:val="auto"/>
        </w:rPr>
      </w:pPr>
      <w:r>
        <w:rPr>
          <w:rFonts w:ascii="Arial" w:cs="Arial" w:eastAsia="Arial" w:hAnsi="Arial"/>
          <w:sz w:val="18"/>
          <w:szCs w:val="18"/>
          <w:color w:val="auto"/>
        </w:rPr>
        <w:t>dated as of December 12, 2022, by and between Priveterra Acquisition Corp., Priveterra Merger Sub, Inc. and the Company.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2.5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and include each of the following:</w:t>
      </w:r>
    </w:p>
    <w:p>
      <w:pPr>
        <w:spacing w:after="0" w:line="206" w:lineRule="exact"/>
        <w:rPr>
          <w:sz w:val="20"/>
          <w:szCs w:val="20"/>
          <w:color w:val="auto"/>
        </w:rPr>
      </w:pPr>
    </w:p>
    <w:p>
      <w:pPr>
        <w:jc w:val="both"/>
        <w:ind w:left="40" w:right="59" w:firstLine="605"/>
        <w:spacing w:after="0"/>
        <w:tabs>
          <w:tab w:leader="none" w:pos="9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person</w:t>
      </w:r>
      <w:r>
        <w:rPr>
          <w:rFonts w:ascii="Times New Roman" w:cs="Times New Roman" w:eastAsia="Times New Roman" w:hAnsi="Times New Roman"/>
          <w:sz w:val="18"/>
          <w:szCs w:val="18"/>
          <w:color w:val="auto"/>
        </w:rPr>
        <w:t xml:space="preserve"> ” </w:t>
      </w:r>
      <w:r>
        <w:rPr>
          <w:rFonts w:ascii="Arial" w:cs="Arial" w:eastAsia="Arial" w:hAnsi="Arial"/>
          <w:sz w:val="18"/>
          <w:szCs w:val="18"/>
          <w:color w:val="auto"/>
        </w:rPr>
        <w:t>or related</w:t>
      </w:r>
      <w:r>
        <w:rPr>
          <w:rFonts w:ascii="Times New Roman" w:cs="Times New Roman" w:eastAsia="Times New Roman" w:hAnsi="Times New Roman"/>
          <w:sz w:val="18"/>
          <w:szCs w:val="18"/>
          <w:color w:val="auto"/>
        </w:rPr>
        <w:t xml:space="preserve"> “ </w:t>
      </w:r>
      <w:r>
        <w:rPr>
          <w:rFonts w:ascii="Arial" w:cs="Arial" w:eastAsia="Arial" w:hAnsi="Arial"/>
          <w:sz w:val="18"/>
          <w:szCs w:val="18"/>
          <w:color w:val="auto"/>
        </w:rPr>
        <w:t>group</w:t>
      </w:r>
      <w:r>
        <w:rPr>
          <w:rFonts w:ascii="Times New Roman" w:cs="Times New Roman" w:eastAsia="Times New Roman" w:hAnsi="Times New Roman"/>
          <w:sz w:val="18"/>
          <w:szCs w:val="18"/>
          <w:color w:val="auto"/>
        </w:rPr>
        <w:t xml:space="preserve"> ” </w:t>
      </w:r>
      <w:r>
        <w:rPr>
          <w:rFonts w:ascii="Arial" w:cs="Arial" w:eastAsia="Arial" w:hAnsi="Arial"/>
          <w:sz w:val="18"/>
          <w:szCs w:val="18"/>
          <w:color w:val="auto"/>
        </w:rPr>
        <w:t>of</w:t>
      </w:r>
      <w:r>
        <w:rPr>
          <w:rFonts w:ascii="Times New Roman" w:cs="Times New Roman" w:eastAsia="Times New Roman" w:hAnsi="Times New Roman"/>
          <w:sz w:val="18"/>
          <w:szCs w:val="18"/>
          <w:color w:val="auto"/>
        </w:rPr>
        <w:t xml:space="preserve"> “ </w:t>
      </w:r>
      <w:r>
        <w:rPr>
          <w:rFonts w:ascii="Arial" w:cs="Arial" w:eastAsia="Arial" w:hAnsi="Arial"/>
          <w:sz w:val="18"/>
          <w:szCs w:val="18"/>
          <w:color w:val="auto"/>
        </w:rPr>
        <w:t>persons</w:t>
      </w:r>
      <w:r>
        <w:rPr>
          <w:rFonts w:ascii="Times New Roman" w:cs="Times New Roman" w:eastAsia="Times New Roman" w:hAnsi="Times New Roman"/>
          <w:sz w:val="18"/>
          <w:szCs w:val="18"/>
          <w:color w:val="auto"/>
        </w:rPr>
        <w:t xml:space="preserve"> ” </w:t>
      </w:r>
      <w:r>
        <w:rPr>
          <w:rFonts w:ascii="Arial" w:cs="Arial" w:eastAsia="Arial" w:hAnsi="Arial"/>
          <w:sz w:val="18"/>
          <w:szCs w:val="18"/>
          <w:color w:val="auto"/>
        </w:rPr>
        <w:t>(as such terms are used in Sections 13(d) and 14(d)(2) of the</w:t>
      </w:r>
    </w:p>
    <w:p>
      <w:pPr>
        <w:spacing w:after="0" w:line="3"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8"/>
          <w:szCs w:val="18"/>
          <w:color w:val="auto"/>
        </w:rPr>
        <w:t xml:space="preserve">Exchange Act) (other than the Company, any of its Subsidiaries, an employee benefit plan maintained by the Company or any of its Subsidiaries or a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person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that, prior to such transaction, directly or indirectly controls, is controlled by, or is under common control with, the Company) directly or indirectly acquires beneficial ownership (within the meaning of Rule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433070</wp:posOffset>
            </wp:positionV>
            <wp:extent cx="5662930"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8"/>
          <w:szCs w:val="18"/>
          <w:color w:val="auto"/>
        </w:rPr>
        <w:t>13d-3 under the Exchange Act) of securities of the Company possessing more than 50% of the total combined voting power of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securities outstanding immediately after such acquisition; or</w:t>
      </w:r>
    </w:p>
    <w:p>
      <w:pPr>
        <w:spacing w:after="0" w:line="162" w:lineRule="exact"/>
        <w:rPr>
          <w:sz w:val="20"/>
          <w:szCs w:val="20"/>
          <w:color w:val="auto"/>
        </w:rPr>
      </w:pPr>
    </w:p>
    <w:p>
      <w:pPr>
        <w:jc w:val="both"/>
        <w:ind w:left="40" w:right="59" w:firstLine="605"/>
        <w:spacing w:after="0" w:line="241" w:lineRule="auto"/>
        <w:tabs>
          <w:tab w:leader="none" w:pos="9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0" w:lineRule="exact"/>
        <w:rPr>
          <w:rFonts w:ascii="Arial" w:cs="Arial" w:eastAsia="Arial" w:hAnsi="Arial"/>
          <w:sz w:val="18"/>
          <w:szCs w:val="18"/>
          <w:color w:val="auto"/>
        </w:rPr>
      </w:pPr>
    </w:p>
    <w:p>
      <w:pPr>
        <w:jc w:val="both"/>
        <w:ind w:left="40" w:right="59" w:firstLine="605"/>
        <w:spacing w:after="0" w:line="245" w:lineRule="auto"/>
        <w:tabs>
          <w:tab w:leader="none" w:pos="9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assets in any single transaction or series of related transactions or (z) the acquisition of assets or stock of another entity, in each case other than a transaction:</w:t>
      </w:r>
    </w:p>
    <w:p>
      <w:pPr>
        <w:spacing w:after="0" w:line="157" w:lineRule="exact"/>
        <w:rPr>
          <w:rFonts w:ascii="Arial" w:cs="Arial" w:eastAsia="Arial" w:hAnsi="Arial"/>
          <w:sz w:val="18"/>
          <w:szCs w:val="18"/>
          <w:color w:val="auto"/>
        </w:rPr>
      </w:pPr>
    </w:p>
    <w:p>
      <w:pPr>
        <w:jc w:val="both"/>
        <w:ind w:left="640" w:right="59" w:firstLine="607"/>
        <w:spacing w:after="0" w:line="245" w:lineRule="auto"/>
        <w:tabs>
          <w:tab w:leader="none" w:pos="1498" w:val="left"/>
        </w:tabs>
        <w:numPr>
          <w:ilvl w:val="1"/>
          <w:numId w:val="35"/>
        </w:numPr>
        <w:rPr>
          <w:rFonts w:ascii="Arial" w:cs="Arial" w:eastAsia="Arial" w:hAnsi="Arial"/>
          <w:sz w:val="17"/>
          <w:szCs w:val="17"/>
          <w:color w:val="auto"/>
        </w:rPr>
      </w:pPr>
      <w:r>
        <w:rPr>
          <w:rFonts w:ascii="Arial" w:cs="Arial" w:eastAsia="Arial" w:hAnsi="Arial"/>
          <w:sz w:val="18"/>
          <w:szCs w:val="18"/>
          <w:color w:val="auto"/>
        </w:rPr>
        <w:t>which results in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assets or otherwise succeeds to the business of the Company (the Company or such person, the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Successor Entity</w:t>
      </w:r>
      <w:r>
        <w:rPr>
          <w:rFonts w:ascii="Times New Roman" w:cs="Times New Roman" w:eastAsia="Times New Roman" w:hAnsi="Times New Roman"/>
          <w:sz w:val="18"/>
          <w:szCs w:val="18"/>
          <w:color w:val="auto"/>
        </w:rPr>
        <w:t>”</w:t>
      </w:r>
      <w:r>
        <w:rPr>
          <w:rFonts w:ascii="Arial" w:cs="Arial" w:eastAsia="Arial" w:hAnsi="Arial"/>
          <w:sz w:val="18"/>
          <w:szCs w:val="18"/>
          <w:color w:val="auto"/>
        </w:rPr>
        <w:t>)) directly or indirectly, at least a majority of the combined voting power of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Successor Entity</w:t>
      </w:r>
      <w:r>
        <w:rPr>
          <w:rFonts w:ascii="Times New Roman" w:cs="Times New Roman" w:eastAsia="Times New Roman" w:hAnsi="Times New Roman"/>
          <w:sz w:val="18"/>
          <w:szCs w:val="18"/>
          <w:color w:val="auto"/>
        </w:rPr>
        <w:t>’</w:t>
      </w:r>
      <w:r>
        <w:rPr>
          <w:rFonts w:ascii="Arial" w:cs="Arial" w:eastAsia="Arial" w:hAnsi="Arial"/>
          <w:sz w:val="18"/>
          <w:szCs w:val="18"/>
          <w:color w:val="auto"/>
        </w:rPr>
        <w:t>s outstanding voting securities immediately after the transaction, and</w:t>
      </w:r>
    </w:p>
    <w:p>
      <w:pPr>
        <w:spacing w:after="0" w:line="171" w:lineRule="exact"/>
        <w:rPr>
          <w:rFonts w:ascii="Arial" w:cs="Arial" w:eastAsia="Arial" w:hAnsi="Arial"/>
          <w:sz w:val="17"/>
          <w:szCs w:val="17"/>
          <w:color w:val="auto"/>
        </w:rPr>
      </w:pPr>
    </w:p>
    <w:p>
      <w:pPr>
        <w:jc w:val="both"/>
        <w:ind w:left="640" w:right="59" w:firstLine="607"/>
        <w:spacing w:after="0" w:line="242" w:lineRule="auto"/>
        <w:tabs>
          <w:tab w:leader="none" w:pos="1473" w:val="left"/>
        </w:tabs>
        <w:numPr>
          <w:ilvl w:val="1"/>
          <w:numId w:val="35"/>
        </w:numPr>
        <w:rPr>
          <w:rFonts w:ascii="Arial" w:cs="Arial" w:eastAsia="Arial" w:hAnsi="Arial"/>
          <w:sz w:val="17"/>
          <w:szCs w:val="17"/>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59" w:lineRule="exact"/>
        <w:rPr>
          <w:sz w:val="20"/>
          <w:szCs w:val="20"/>
          <w:color w:val="auto"/>
        </w:rPr>
      </w:pPr>
    </w:p>
    <w:p>
      <w:pPr>
        <w:jc w:val="both"/>
        <w:ind w:left="40" w:right="59" w:firstLine="601"/>
        <w:spacing w:after="0" w:line="241" w:lineRule="auto"/>
        <w:rPr>
          <w:sz w:val="20"/>
          <w:szCs w:val="20"/>
          <w:color w:val="auto"/>
        </w:rPr>
      </w:pPr>
      <w:r>
        <w:rPr>
          <w:rFonts w:ascii="Arial" w:cs="Arial" w:eastAsia="Arial" w:hAnsi="Arial"/>
          <w:sz w:val="18"/>
          <w:szCs w:val="18"/>
          <w:color w:val="auto"/>
        </w:rPr>
        <w:t xml:space="preserve">Notwithstanding the foregoing, if a Change in Control constitutes a payment event with respect to any portion of any right that provides for the deferral of compensation that is subject to Section 409A of the Code, to the extent required to avoid the imposition of additional taxes under Section 409A of the Code, the transaction or event described in subsection (a), (b) or (c) with respect to such right (or portion thereof) shall only constitute a Change in Control for purposes of the payment timing of such right (or portion thereof) if such transaction also constitutes a </w:t>
      </w:r>
      <w:r>
        <w:rPr>
          <w:rFonts w:ascii="Times New Roman" w:cs="Times New Roman" w:eastAsia="Times New Roman" w:hAnsi="Times New Roman"/>
          <w:sz w:val="18"/>
          <w:szCs w:val="18"/>
          <w:color w:val="auto"/>
        </w:rPr>
        <w:t>“</w:t>
      </w:r>
      <w:r>
        <w:rPr>
          <w:rFonts w:ascii="Arial" w:cs="Arial" w:eastAsia="Arial" w:hAnsi="Arial"/>
          <w:sz w:val="18"/>
          <w:szCs w:val="18"/>
          <w:color w:val="auto"/>
        </w:rPr>
        <w:t>change in control event,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as defined in Treasury Regulation Section 1.409A-3(i)(5).</w:t>
      </w:r>
    </w:p>
    <w:p>
      <w:pPr>
        <w:spacing w:after="0" w:line="368"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2.6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Code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Internal Revenue Code of 1986, as amended and the regulations issued thereunder.</w:t>
      </w:r>
    </w:p>
    <w:p>
      <w:pPr>
        <w:spacing w:after="0" w:line="119"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2.7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Common Stock</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Class A common stock of the Company, par value of $0.0001 per share, and such other securities of the Company that may be substituted therefor pursuant to Article VIII.</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2.8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AEON Biopharma, Inc., a Delaware corporation, or any successor.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443230</wp:posOffset>
            </wp:positionV>
            <wp:extent cx="5662930"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60" w:name="page61"/>
    <w:bookmarkEnd w:id="60"/>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2.9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Compensation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of an Eligible Employee shall mean the gross cash compensation received by such Eligible Employee as compensation for services to the Company or any Designated Subsidiary, including prior week adjustment, overtime payments, commissions, periodic bonuses, and any salary or wages coded as </w:t>
      </w:r>
      <w:r>
        <w:rPr>
          <w:rFonts w:ascii="Times New Roman" w:cs="Times New Roman" w:eastAsia="Times New Roman" w:hAnsi="Times New Roman"/>
          <w:sz w:val="18"/>
          <w:szCs w:val="18"/>
          <w:color w:val="auto"/>
        </w:rPr>
        <w:t>“</w:t>
      </w:r>
      <w:r>
        <w:rPr>
          <w:rFonts w:ascii="Arial" w:cs="Arial" w:eastAsia="Arial" w:hAnsi="Arial"/>
          <w:sz w:val="18"/>
          <w:szCs w:val="18"/>
          <w:color w:val="auto"/>
        </w:rPr>
        <w:t>holiday pay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or </w:t>
      </w:r>
      <w:r>
        <w:rPr>
          <w:rFonts w:ascii="Times New Roman" w:cs="Times New Roman" w:eastAsia="Times New Roman" w:hAnsi="Times New Roman"/>
          <w:sz w:val="18"/>
          <w:szCs w:val="18"/>
          <w:color w:val="auto"/>
        </w:rPr>
        <w:t>“</w:t>
      </w:r>
      <w:r>
        <w:rPr>
          <w:rFonts w:ascii="Arial" w:cs="Arial" w:eastAsia="Arial" w:hAnsi="Arial"/>
          <w:sz w:val="18"/>
          <w:szCs w:val="18"/>
          <w:color w:val="auto"/>
        </w:rPr>
        <w:t>vacation pay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payroll system, but excluding jury duty pay, funeral leave pay, military leave pay,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w:t>
      </w:r>
      <w:r>
        <w:rPr>
          <w:rFonts w:ascii="Times New Roman" w:cs="Times New Roman" w:eastAsia="Times New Roman" w:hAnsi="Times New Roman"/>
          <w:sz w:val="18"/>
          <w:szCs w:val="18"/>
          <w:color w:val="auto"/>
        </w:rPr>
        <w:t>’</w:t>
      </w:r>
      <w:r>
        <w:rPr>
          <w:rFonts w:ascii="Arial" w:cs="Arial" w:eastAsia="Arial" w:hAnsi="Arial"/>
          <w:sz w:val="18"/>
          <w:szCs w:val="18"/>
          <w:color w:val="auto"/>
        </w:rPr>
        <w:t>s benefit under any employee benefit plan now or hereafter established.</w:t>
      </w:r>
    </w:p>
    <w:p>
      <w:pPr>
        <w:spacing w:after="0" w:line="359"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2.10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Designated Subsidiary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any Subsidiary designated by the Administrator in accordance with Section 11.3(b).</w:t>
      </w:r>
    </w:p>
    <w:p>
      <w:pPr>
        <w:spacing w:after="0" w:line="119"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2.11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Effective Date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date of the consummation of the transactions contemplated by the Business Combination Agreement.</w:t>
      </w:r>
    </w:p>
    <w:p>
      <w:pPr>
        <w:spacing w:after="0" w:line="119" w:lineRule="exact"/>
        <w:rPr>
          <w:sz w:val="20"/>
          <w:szCs w:val="20"/>
          <w:color w:val="auto"/>
        </w:rPr>
      </w:pPr>
    </w:p>
    <w:p>
      <w:pPr>
        <w:jc w:val="both"/>
        <w:ind w:left="40" w:right="59" w:firstLine="601"/>
        <w:spacing w:after="0" w:line="236" w:lineRule="auto"/>
        <w:rPr>
          <w:sz w:val="20"/>
          <w:szCs w:val="20"/>
          <w:color w:val="auto"/>
        </w:rPr>
      </w:pPr>
      <w:r>
        <w:rPr>
          <w:rFonts w:ascii="Arial" w:cs="Arial" w:eastAsia="Arial" w:hAnsi="Arial"/>
          <w:sz w:val="18"/>
          <w:szCs w:val="18"/>
          <w:color w:val="auto"/>
        </w:rPr>
        <w:t xml:space="preserve">2.12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Eligible Employee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an Employee who does not, immediately after any rights under this Plan are granted, own (directly or through attribution) stock possessing 5% or more of the total combined voting power or value of all classes of Common Stock (including Class B Common Stock) and other stock of the Company, a Parent or a Subsidiary (as determined under Section 423(b)(3) of the Code). For purposes of the foregoing sentence, the rules of Section 424(d) of the Code with regard to the attribution of stock ownership shall apply in determining the stock ownership of an individual, and stock that an Employee may purchase under outstanding options shall be treated as stock owned by the Employee;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may provide in an Offering Document that an Employee shall not be eligible to participate in an Offering Period if: (a) such Employee is a highly compensated employee within the meaning of Section 423(b)(4)(D) of the Code, (b) such Employee has not met a service requirement designated by the Administrator pursuant to Section 423(b)(4)(A) of the Code (which service requirement may not exceed two years), (c) such Employee</w:t>
      </w:r>
      <w:r>
        <w:rPr>
          <w:rFonts w:ascii="Times New Roman" w:cs="Times New Roman" w:eastAsia="Times New Roman" w:hAnsi="Times New Roman"/>
          <w:sz w:val="18"/>
          <w:szCs w:val="18"/>
          <w:color w:val="auto"/>
        </w:rPr>
        <w:t>’</w:t>
      </w:r>
      <w:r>
        <w:rPr>
          <w:rFonts w:ascii="Arial" w:cs="Arial" w:eastAsia="Arial" w:hAnsi="Arial"/>
          <w:sz w:val="18"/>
          <w:szCs w:val="18"/>
          <w:color w:val="auto"/>
        </w:rPr>
        <w:t>s customary employment is for 20 hours or less per week, (d) such Employee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customary employment is for less than five months in any calendar year and/or (e) 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exclusion in clauses (a), (b), (c), (d) or (e) shall be applied in an identical manner under each Offering Period to all Employees, in accordance with Treasury Regulation Section 1.423-2(e).</w:t>
      </w:r>
    </w:p>
    <w:p>
      <w:pPr>
        <w:spacing w:after="0" w:line="161" w:lineRule="exact"/>
        <w:rPr>
          <w:sz w:val="20"/>
          <w:szCs w:val="20"/>
          <w:color w:val="auto"/>
        </w:rPr>
      </w:pPr>
    </w:p>
    <w:p>
      <w:pPr>
        <w:jc w:val="both"/>
        <w:ind w:left="40" w:right="59" w:firstLine="601"/>
        <w:spacing w:after="0" w:line="241" w:lineRule="auto"/>
        <w:rPr>
          <w:sz w:val="20"/>
          <w:szCs w:val="20"/>
          <w:color w:val="auto"/>
        </w:rPr>
      </w:pPr>
      <w:r>
        <w:rPr>
          <w:rFonts w:ascii="Arial" w:cs="Arial" w:eastAsia="Arial" w:hAnsi="Arial"/>
          <w:sz w:val="18"/>
          <w:szCs w:val="18"/>
          <w:color w:val="auto"/>
        </w:rPr>
        <w:t xml:space="preserve">2.13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Employee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any officer or other employee (as defined in accordance with Section 3401(c) of the Code) of the Company or any Designated Subsidiary. </w:t>
      </w:r>
      <w:r>
        <w:rPr>
          <w:rFonts w:ascii="Times New Roman" w:cs="Times New Roman" w:eastAsia="Times New Roman" w:hAnsi="Times New Roman"/>
          <w:sz w:val="18"/>
          <w:szCs w:val="18"/>
          <w:color w:val="auto"/>
        </w:rPr>
        <w:t>“</w:t>
      </w:r>
      <w:r>
        <w:rPr>
          <w:rFonts w:ascii="Arial" w:cs="Arial" w:eastAsia="Arial" w:hAnsi="Arial"/>
          <w:sz w:val="18"/>
          <w:szCs w:val="18"/>
          <w:color w:val="auto"/>
        </w:rPr>
        <w:t>Employee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 to reemployment is not guaranteed either by statute or by contract, the employment relationship shall be deemed to have terminated on the first day immediately following such three-month period.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443230</wp:posOffset>
            </wp:positionV>
            <wp:extent cx="5662930"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61" w:name="page62"/>
    <w:bookmarkEnd w:id="61"/>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firstLine="601"/>
        <w:spacing w:after="0" w:line="265" w:lineRule="auto"/>
        <w:rPr>
          <w:sz w:val="20"/>
          <w:szCs w:val="20"/>
          <w:color w:val="auto"/>
        </w:rPr>
      </w:pPr>
      <w:r>
        <w:rPr>
          <w:rFonts w:ascii="Arial" w:cs="Arial" w:eastAsia="Arial" w:hAnsi="Arial"/>
          <w:sz w:val="18"/>
          <w:szCs w:val="18"/>
          <w:color w:val="auto"/>
        </w:rPr>
        <w:t xml:space="preserve">2.14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Enrollment Date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first Trading Day of each Offering Period, unless otherwise specified in the Offering Document.</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2.15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Exchange Act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Securities Exchange Act of 1934, as amended from time to time.</w:t>
      </w:r>
    </w:p>
    <w:p>
      <w:pPr>
        <w:spacing w:after="0" w:line="206" w:lineRule="exact"/>
        <w:rPr>
          <w:sz w:val="20"/>
          <w:szCs w:val="20"/>
          <w:color w:val="auto"/>
        </w:rPr>
      </w:pPr>
    </w:p>
    <w:p>
      <w:pPr>
        <w:jc w:val="both"/>
        <w:ind w:left="40" w:right="59" w:firstLine="601"/>
        <w:spacing w:after="0" w:line="238" w:lineRule="auto"/>
        <w:rPr>
          <w:sz w:val="20"/>
          <w:szCs w:val="20"/>
          <w:color w:val="auto"/>
        </w:rPr>
      </w:pPr>
      <w:r>
        <w:rPr>
          <w:rFonts w:ascii="Arial" w:cs="Arial" w:eastAsia="Arial" w:hAnsi="Arial"/>
          <w:sz w:val="18"/>
          <w:szCs w:val="18"/>
          <w:color w:val="auto"/>
        </w:rPr>
        <w:t xml:space="preserve">2.16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Fair Market Value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8"/>
          <w:szCs w:val="18"/>
          <w:i w:val="1"/>
          <w:iCs w:val="1"/>
          <w:color w:val="auto"/>
        </w:rPr>
        <w:t xml:space="preserve">The Wall Street Journal </w:t>
      </w:r>
      <w:r>
        <w:rPr>
          <w:rFonts w:ascii="Arial" w:cs="Arial" w:eastAsia="Arial" w:hAnsi="Arial"/>
          <w:sz w:val="18"/>
          <w:szCs w:val="18"/>
          <w:color w:val="auto"/>
        </w:rPr>
        <w:t>or another source the Administrator deems reliable; (b) if the Common Stock is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another source the Administrator deems reliable; or (c) without an established market for the Common Stock, the Administrator will determine the Fair Market Value in its discretion.</w:t>
      </w:r>
    </w:p>
    <w:p>
      <w:pPr>
        <w:spacing w:after="0" w:line="164"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2.17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Fully-Diluted Shares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as of any given date, (i) shares of Preferred Stock and shares of Common Stock outstanding on such date, (ii) shares of Common Stock subject to compensatory equity awards (including stock options and restricted stock units) outstanding on such date, with (A) performance-based compensatory equity awards calculated at the </w:t>
      </w:r>
      <w:r>
        <w:rPr>
          <w:rFonts w:ascii="Times New Roman" w:cs="Times New Roman" w:eastAsia="Times New Roman" w:hAnsi="Times New Roman"/>
          <w:sz w:val="18"/>
          <w:szCs w:val="18"/>
          <w:color w:val="auto"/>
        </w:rPr>
        <w:t>“</w:t>
      </w:r>
      <w:r>
        <w:rPr>
          <w:rFonts w:ascii="Arial" w:cs="Arial" w:eastAsia="Arial" w:hAnsi="Arial"/>
          <w:sz w:val="18"/>
          <w:szCs w:val="18"/>
          <w:color w:val="auto"/>
        </w:rPr>
        <w:t>target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level of performance and (B) shares of Common Stock subject to stock options calculated on a </w:t>
      </w:r>
      <w:r>
        <w:rPr>
          <w:rFonts w:ascii="Times New Roman" w:cs="Times New Roman" w:eastAsia="Times New Roman" w:hAnsi="Times New Roman"/>
          <w:sz w:val="18"/>
          <w:szCs w:val="18"/>
          <w:color w:val="auto"/>
        </w:rPr>
        <w:t>“</w:t>
      </w:r>
      <w:r>
        <w:rPr>
          <w:rFonts w:ascii="Arial" w:cs="Arial" w:eastAsia="Arial" w:hAnsi="Arial"/>
          <w:sz w:val="18"/>
          <w:szCs w:val="18"/>
          <w:color w:val="auto"/>
        </w:rPr>
        <w:t>net exercised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basis as of the applicable date, assuming shares are surrendered having a Fair Market Value on such date equal to the exercise price of such options (rounded up to the nearest whole Share, and determined without regard to the vested status of the stock option) and (iii) shares issuable upon the exercise or settlement of other equity securities (including Pre-Funded Warrants) with respect to which shares of Common Stock have not actually been issued and the conversion of all convertible securities into shares of Common Stock, in each case, counted on an as-converted-to shares of Common Stock basis; provided, however, that shares of Common Stock subject to warrants outstanding on such date other than Pre-Funded Warrants shall not be included in the determination of Fully-Diluted Shares.</w:t>
      </w:r>
    </w:p>
    <w:p>
      <w:pPr>
        <w:spacing w:after="0" w:line="3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2.18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Offering Document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have the meaning given to such term in Section 4.1.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2.19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Offering Period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have the meaning given to such term in Section 4.1.</w:t>
      </w:r>
    </w:p>
    <w:p>
      <w:pPr>
        <w:spacing w:after="0" w:line="206" w:lineRule="exact"/>
        <w:rPr>
          <w:sz w:val="20"/>
          <w:szCs w:val="20"/>
          <w:color w:val="auto"/>
        </w:rPr>
      </w:pPr>
    </w:p>
    <w:p>
      <w:pPr>
        <w:jc w:val="both"/>
        <w:ind w:left="40" w:right="59" w:firstLine="601"/>
        <w:spacing w:after="0" w:line="250" w:lineRule="auto"/>
        <w:rPr>
          <w:sz w:val="20"/>
          <w:szCs w:val="20"/>
          <w:color w:val="auto"/>
        </w:rPr>
      </w:pPr>
      <w:r>
        <w:rPr>
          <w:rFonts w:ascii="Arial" w:cs="Arial" w:eastAsia="Arial" w:hAnsi="Arial"/>
          <w:sz w:val="18"/>
          <w:szCs w:val="18"/>
          <w:color w:val="auto"/>
        </w:rPr>
        <w:t xml:space="preserve">2.20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Parent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51"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2.21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any Eligible Employee who has executed a subscription agreement and been granted rights to purchase Common Stock pursuant to the Plan.</w:t>
      </w:r>
    </w:p>
    <w:p>
      <w:pPr>
        <w:spacing w:after="0" w:line="119"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2.22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Plan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this AEON Biopharma, Inc. Amended and Restated 2023 Employee Stock Purchase Plan, as it may be amended from time to time.</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2.23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Preferred Stock</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preferred stock of the Company, par value of $0.0001 per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443230</wp:posOffset>
            </wp:positionV>
            <wp:extent cx="5662930"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62" w:name="page63"/>
    <w:bookmarkEnd w:id="62"/>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firstLine="601"/>
        <w:spacing w:after="0" w:line="265" w:lineRule="auto"/>
        <w:rPr>
          <w:sz w:val="20"/>
          <w:szCs w:val="20"/>
          <w:color w:val="auto"/>
        </w:rPr>
      </w:pPr>
      <w:r>
        <w:rPr>
          <w:rFonts w:ascii="Arial" w:cs="Arial" w:eastAsia="Arial" w:hAnsi="Arial"/>
          <w:sz w:val="18"/>
          <w:szCs w:val="18"/>
          <w:color w:val="auto"/>
        </w:rPr>
        <w:t xml:space="preserve">2.24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Pre-Funded Warrants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means any warrant to acquire shares of Common Stock for a nominal exercise price.</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2.25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Purchase Date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last Trading Day of each Purchase Period.</w:t>
      </w:r>
    </w:p>
    <w:p>
      <w:pPr>
        <w:spacing w:after="0" w:line="206" w:lineRule="exact"/>
        <w:rPr>
          <w:sz w:val="20"/>
          <w:szCs w:val="20"/>
          <w:color w:val="auto"/>
        </w:rPr>
      </w:pPr>
    </w:p>
    <w:p>
      <w:pPr>
        <w:jc w:val="both"/>
        <w:ind w:left="40" w:right="59" w:firstLine="601"/>
        <w:spacing w:after="0" w:line="250" w:lineRule="auto"/>
        <w:rPr>
          <w:sz w:val="20"/>
          <w:szCs w:val="20"/>
          <w:color w:val="auto"/>
        </w:rPr>
      </w:pPr>
      <w:r>
        <w:rPr>
          <w:rFonts w:ascii="Arial" w:cs="Arial" w:eastAsia="Arial" w:hAnsi="Arial"/>
          <w:sz w:val="18"/>
          <w:szCs w:val="18"/>
          <w:color w:val="auto"/>
        </w:rPr>
        <w:t xml:space="preserve">2.26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Purchase Period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refer to one or more periods within an Offering Period, as designated in the applicable Offering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151"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2.27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Purchase Price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purchase price designated by the Administrator in the applicable Offering Document (which purchase price shall not be less than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Purchase Price may be adjusted by the Administrator pursuant to Article VIII and shall not be less than the par value of a Share.</w:t>
      </w:r>
    </w:p>
    <w:p>
      <w:pPr>
        <w:spacing w:after="0" w:line="3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2.28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Securities Act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the Securities Act of 1933, as amended.</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2.29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Share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 share of Common Stock.</w:t>
      </w:r>
    </w:p>
    <w:p>
      <w:pPr>
        <w:spacing w:after="0" w:line="206" w:lineRule="exact"/>
        <w:rPr>
          <w:sz w:val="20"/>
          <w:szCs w:val="20"/>
          <w:color w:val="auto"/>
        </w:rPr>
      </w:pPr>
    </w:p>
    <w:p>
      <w:pPr>
        <w:jc w:val="both"/>
        <w:ind w:left="40" w:right="59" w:firstLine="601"/>
        <w:spacing w:after="0" w:line="239" w:lineRule="auto"/>
        <w:rPr>
          <w:sz w:val="20"/>
          <w:szCs w:val="20"/>
          <w:color w:val="auto"/>
        </w:rPr>
      </w:pPr>
      <w:r>
        <w:rPr>
          <w:rFonts w:ascii="Arial" w:cs="Arial" w:eastAsia="Arial" w:hAnsi="Arial"/>
          <w:sz w:val="18"/>
          <w:szCs w:val="18"/>
          <w:color w:val="auto"/>
        </w:rPr>
        <w:t xml:space="preserve">2.30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Subsidiary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61" w:lineRule="exact"/>
        <w:rPr>
          <w:sz w:val="20"/>
          <w:szCs w:val="20"/>
          <w:color w:val="auto"/>
        </w:rPr>
      </w:pPr>
    </w:p>
    <w:p>
      <w:pPr>
        <w:jc w:val="both"/>
        <w:ind w:left="40" w:right="59" w:firstLine="601"/>
        <w:spacing w:after="0" w:line="286" w:lineRule="auto"/>
        <w:rPr>
          <w:sz w:val="20"/>
          <w:szCs w:val="20"/>
          <w:color w:val="auto"/>
        </w:rPr>
      </w:pPr>
      <w:r>
        <w:rPr>
          <w:rFonts w:ascii="Arial" w:cs="Arial" w:eastAsia="Arial" w:hAnsi="Arial"/>
          <w:sz w:val="18"/>
          <w:szCs w:val="18"/>
          <w:color w:val="auto"/>
        </w:rPr>
        <w:t xml:space="preserve">2.31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Trading Day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shall mean a day on which national stock exchanges in the United States are open for trading.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SUBJECT TO THE PLAN</w:t>
      </w:r>
    </w:p>
    <w:p>
      <w:pPr>
        <w:spacing w:after="0" w:line="176" w:lineRule="exact"/>
        <w:rPr>
          <w:sz w:val="20"/>
          <w:szCs w:val="20"/>
          <w:color w:val="auto"/>
        </w:rPr>
      </w:pPr>
    </w:p>
    <w:p>
      <w:pPr>
        <w:jc w:val="both"/>
        <w:ind w:left="40" w:right="59" w:firstLine="601"/>
        <w:spacing w:after="0" w:line="23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Article VIII, the aggregate number of Shares that may be issued pursuant to rights granted under the Plan shall be 488,146 Shares. In addition to the foregoing, subject to Article VIII, on the first day of each calendar year beginning on and including January 1, 2024 and ending on and including January 1, 2033, the number of Shares available for issuance under the Plan shall be increased by that number of Shares equal to the lesser of (a) a number of Shares equal to 1% of the number of Fully-Diluted Shares on the final day of the immediately preceding calendar year and (b) such smaller number of Shares as determined by the Board. If any right granted under the Plan shall for any reason terminate without having been exercised, the Shares not purchased under such right shall again become available for issuance under the Plan.</w:t>
      </w: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433070</wp:posOffset>
            </wp:positionV>
            <wp:extent cx="5662930"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63" w:name="page64"/>
    <w:bookmarkEnd w:id="63"/>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spacing w:after="0" w:line="242" w:lineRule="auto"/>
        <w:rPr>
          <w:sz w:val="20"/>
          <w:szCs w:val="20"/>
          <w:color w:val="auto"/>
        </w:rPr>
      </w:pPr>
      <w:r>
        <w:rPr>
          <w:rFonts w:ascii="Arial" w:cs="Arial" w:eastAsia="Arial" w:hAnsi="Arial"/>
          <w:sz w:val="18"/>
          <w:szCs w:val="18"/>
          <w:color w:val="auto"/>
        </w:rPr>
        <w:t>Notwithstanding anything in this Section 3.1 to the contrary, the number of Shares that may be issued or transferred pursuant to the rights granted under the Plan shall not exceed an aggregate of 50,000,000 Shares, subject to Article VIII.</w:t>
      </w:r>
    </w:p>
    <w:p>
      <w:pPr>
        <w:spacing w:after="0" w:line="157"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Common Stock distributed pursuant to the Plan may consist, in whole or in part, of authorized and unissued Common Stock, treasury stock or Common Stock purchased on the open market.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176" w:lineRule="exact"/>
        <w:rPr>
          <w:sz w:val="20"/>
          <w:szCs w:val="20"/>
          <w:color w:val="auto"/>
        </w:rPr>
      </w:pPr>
    </w:p>
    <w:p>
      <w:pPr>
        <w:jc w:val="both"/>
        <w:ind w:left="40" w:right="59" w:firstLine="601"/>
        <w:spacing w:after="0" w:line="24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Offering Periods</w:t>
      </w:r>
      <w:r>
        <w:rPr>
          <w:rFonts w:ascii="Arial" w:cs="Arial" w:eastAsia="Arial" w:hAnsi="Arial"/>
          <w:sz w:val="18"/>
          <w:szCs w:val="18"/>
          <w:color w:val="auto"/>
        </w:rPr>
        <w:t xml:space="preserve">. The Administrator may from time to time grant or provide for the grant of rights to purchase Shares under the Plan to Eligible Employees during one or more periods (each, an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Times New Roman" w:cs="Times New Roman" w:eastAsia="Times New Roman" w:hAnsi="Times New Roman"/>
          <w:sz w:val="18"/>
          <w:szCs w:val="18"/>
          <w:color w:val="auto"/>
        </w:rPr>
        <w:t>”</w:t>
      </w:r>
      <w:r>
        <w:rPr>
          <w:rFonts w:ascii="Arial" w:cs="Arial" w:eastAsia="Arial" w:hAnsi="Arial"/>
          <w:sz w:val="18"/>
          <w:szCs w:val="18"/>
          <w:color w:val="auto"/>
        </w:rPr>
        <w:t>) selected by the Administrator. The terms and conditions applicable to each Offering Period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set forth in an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Offering Document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adopted by the Administrator, which Offering Document shall be in such form and shall contain such terms and conditions as the Administrator shall deem appropriate.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spacing w:after="0" w:line="161" w:lineRule="exact"/>
        <w:rPr>
          <w:sz w:val="20"/>
          <w:szCs w:val="20"/>
          <w:color w:val="auto"/>
        </w:rPr>
      </w:pPr>
    </w:p>
    <w:p>
      <w:pPr>
        <w:jc w:val="both"/>
        <w:ind w:left="40" w:right="59" w:firstLine="601"/>
        <w:spacing w:after="0" w:line="27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Offering Documents</w:t>
      </w:r>
      <w:r>
        <w:rPr>
          <w:rFonts w:ascii="Arial" w:cs="Arial" w:eastAsia="Arial" w:hAnsi="Arial"/>
          <w:sz w:val="18"/>
          <w:szCs w:val="18"/>
          <w:color w:val="auto"/>
        </w:rPr>
        <w:t>. Each Offering Document with respect to an Offering Period shall specify (through incorporation of the provisions of this Plan by reference or otherwise):</w:t>
      </w:r>
    </w:p>
    <w:p>
      <w:pPr>
        <w:spacing w:after="0" w:line="130" w:lineRule="exact"/>
        <w:rPr>
          <w:sz w:val="20"/>
          <w:szCs w:val="20"/>
          <w:color w:val="auto"/>
        </w:rPr>
      </w:pPr>
    </w:p>
    <w:p>
      <w:pPr>
        <w:ind w:left="920" w:hanging="275"/>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length of the Offering Period, which period shall not exceed 27 months;</w:t>
      </w:r>
    </w:p>
    <w:p>
      <w:pPr>
        <w:spacing w:after="0" w:line="193" w:lineRule="exact"/>
        <w:rPr>
          <w:rFonts w:ascii="Arial" w:cs="Arial" w:eastAsia="Arial" w:hAnsi="Arial"/>
          <w:sz w:val="18"/>
          <w:szCs w:val="18"/>
          <w:color w:val="auto"/>
        </w:rPr>
      </w:pPr>
    </w:p>
    <w:p>
      <w:pPr>
        <w:ind w:left="920" w:hanging="275"/>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length of the Purchase Period(s) within the Offering Period;</w:t>
      </w:r>
    </w:p>
    <w:p>
      <w:pPr>
        <w:spacing w:after="0" w:line="193" w:lineRule="exact"/>
        <w:rPr>
          <w:rFonts w:ascii="Arial" w:cs="Arial" w:eastAsia="Arial" w:hAnsi="Arial"/>
          <w:sz w:val="18"/>
          <w:szCs w:val="18"/>
          <w:color w:val="auto"/>
        </w:rPr>
      </w:pPr>
    </w:p>
    <w:p>
      <w:pPr>
        <w:jc w:val="both"/>
        <w:ind w:left="40" w:right="59" w:firstLine="605"/>
        <w:spacing w:after="0" w:line="252" w:lineRule="auto"/>
        <w:tabs>
          <w:tab w:leader="none" w:pos="9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each Offering Period that contains only one Purchase Period the maximum number of Shares that may be purchased by any Eligible Employee during such Offering Period, which, in the absence of a contrary designation by the Administrator, shall be 50,000 Shares;</w:t>
      </w:r>
    </w:p>
    <w:p>
      <w:pPr>
        <w:spacing w:after="0" w:line="149" w:lineRule="exact"/>
        <w:rPr>
          <w:rFonts w:ascii="Arial" w:cs="Arial" w:eastAsia="Arial" w:hAnsi="Arial"/>
          <w:sz w:val="18"/>
          <w:szCs w:val="18"/>
          <w:color w:val="auto"/>
        </w:rPr>
      </w:pPr>
    </w:p>
    <w:p>
      <w:pPr>
        <w:jc w:val="both"/>
        <w:ind w:left="40" w:right="59" w:firstLine="605"/>
        <w:spacing w:after="0" w:line="246" w:lineRule="auto"/>
        <w:tabs>
          <w:tab w:leader="none" w:pos="9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shall be 50,000 Shares; and</w:t>
      </w:r>
    </w:p>
    <w:p>
      <w:pPr>
        <w:spacing w:after="0" w:line="365" w:lineRule="exact"/>
        <w:rPr>
          <w:rFonts w:ascii="Arial" w:cs="Arial" w:eastAsia="Arial" w:hAnsi="Arial"/>
          <w:sz w:val="18"/>
          <w:szCs w:val="18"/>
          <w:color w:val="auto"/>
        </w:rPr>
      </w:pPr>
    </w:p>
    <w:p>
      <w:pPr>
        <w:ind w:left="920" w:hanging="275"/>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other provisions as the Administrator determines are appropriate, subject to the Plan.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ELIGIBILITY AND PARTICIPATION</w:t>
      </w:r>
    </w:p>
    <w:p>
      <w:pPr>
        <w:spacing w:after="0" w:line="176"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Enrollment in Plan</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443230</wp:posOffset>
            </wp:positionV>
            <wp:extent cx="5662930"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64" w:name="page65"/>
    <w:bookmarkEnd w:id="64"/>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firstLine="605"/>
        <w:spacing w:after="0" w:line="237" w:lineRule="auto"/>
        <w:tabs>
          <w:tab w:leader="none" w:pos="9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otherwise set forth herein or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62" w:lineRule="exact"/>
        <w:rPr>
          <w:rFonts w:ascii="Arial" w:cs="Arial" w:eastAsia="Arial" w:hAnsi="Arial"/>
          <w:sz w:val="18"/>
          <w:szCs w:val="18"/>
          <w:color w:val="auto"/>
        </w:rPr>
      </w:pPr>
    </w:p>
    <w:p>
      <w:pPr>
        <w:jc w:val="both"/>
        <w:ind w:left="40" w:right="59" w:firstLine="605"/>
        <w:spacing w:after="0" w:line="241" w:lineRule="auto"/>
        <w:tabs>
          <w:tab w:leader="none" w:pos="9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subscription agreement shall designate a whole percentage of such Eligible Employee</w:t>
      </w:r>
      <w:r>
        <w:rPr>
          <w:rFonts w:ascii="Times New Roman" w:cs="Times New Roman" w:eastAsia="Times New Roman" w:hAnsi="Times New Roman"/>
          <w:sz w:val="18"/>
          <w:szCs w:val="18"/>
          <w:color w:val="auto"/>
        </w:rPr>
        <w:t>’</w:t>
      </w:r>
      <w:r>
        <w:rPr>
          <w:rFonts w:ascii="Arial" w:cs="Arial" w:eastAsia="Arial" w:hAnsi="Arial"/>
          <w:sz w:val="18"/>
          <w:szCs w:val="18"/>
          <w:color w:val="auto"/>
        </w:rPr>
        <w:t>s Compensation to be withheld by the Company or the Designated Subsidiary employing such Eligible Employee on each payday during the Offering Period as payroll deductions under the Plan. The designated percentage may not be less than 1% and may not be more than the maximum percentage specified by the Administrator in the applicable Offering Document (which percentage shall be 15% in the absence of any such designation). The payroll deductions made for each Participant shall be credited to an account for such Participant under the Plan and shall be deposited with the general funds of the Company.</w:t>
      </w:r>
    </w:p>
    <w:p>
      <w:pPr>
        <w:spacing w:after="0" w:line="160" w:lineRule="exact"/>
        <w:rPr>
          <w:rFonts w:ascii="Arial" w:cs="Arial" w:eastAsia="Arial" w:hAnsi="Arial"/>
          <w:sz w:val="18"/>
          <w:szCs w:val="18"/>
          <w:color w:val="auto"/>
        </w:rPr>
      </w:pPr>
    </w:p>
    <w:p>
      <w:pPr>
        <w:jc w:val="both"/>
        <w:ind w:left="40" w:right="59" w:firstLine="605"/>
        <w:spacing w:after="0" w:line="238" w:lineRule="auto"/>
        <w:tabs>
          <w:tab w:leader="none" w:pos="9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Participant may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two decreases and one suspension (but no increases) to his or her payroll deduction elections during each Offering Period with respect to such Offering Period). Any such change or suspension of payroll deductions shall be effective with the first full payroll period following five business days after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receipt of the new subscription agreement (or such shorter or longer period as may be specified by the Administrator in the applicable Offering Document). In the event a Participant suspends his or her payroll deductions, such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60" w:lineRule="exact"/>
        <w:rPr>
          <w:rFonts w:ascii="Arial" w:cs="Arial" w:eastAsia="Arial" w:hAnsi="Arial"/>
          <w:sz w:val="18"/>
          <w:szCs w:val="18"/>
          <w:color w:val="auto"/>
        </w:rPr>
      </w:pPr>
    </w:p>
    <w:p>
      <w:pPr>
        <w:jc w:val="both"/>
        <w:ind w:left="40" w:right="59" w:firstLine="605"/>
        <w:spacing w:after="0" w:line="252" w:lineRule="auto"/>
        <w:tabs>
          <w:tab w:leader="none" w:pos="9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otherwise set forth in Section 5.8 or in an Offering Document or determined by the Administrator, a Participant may participate in the Plan only by means of payroll deduction and may not make contributions by lump sum payment for any Offering Period.</w:t>
      </w:r>
    </w:p>
    <w:p>
      <w:pPr>
        <w:spacing w:after="0" w:line="150"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Payroll Deductions</w:t>
      </w:r>
      <w:r>
        <w:rPr>
          <w:rFonts w:ascii="Arial" w:cs="Arial" w:eastAsia="Arial" w:hAnsi="Arial"/>
          <w:sz w:val="18"/>
          <w:szCs w:val="18"/>
          <w:color w:val="auto"/>
        </w:rPr>
        <w:t>. Except as otherwise provided in the applicable Offering Document or Section 5.8, payroll deductions for a Participant shall commence on the first payroll following the Enrollment Date and shall end on the last payroll in the Offering Period to which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authorization is applicable, unless sooner terminated by the Participant as provided in Article VII or suspended by the Participant or the Administrator as provided in Section 5.2 and Section 5.6, respectively.</w:t>
      </w:r>
    </w:p>
    <w:p>
      <w:pPr>
        <w:spacing w:after="0" w:line="158" w:lineRule="exact"/>
        <w:rPr>
          <w:sz w:val="20"/>
          <w:szCs w:val="20"/>
          <w:color w:val="auto"/>
        </w:rPr>
      </w:pPr>
    </w:p>
    <w:p>
      <w:pPr>
        <w:jc w:val="both"/>
        <w:ind w:left="40" w:right="59" w:firstLine="601"/>
        <w:spacing w:after="0" w:line="250"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Enrollment</w:t>
      </w:r>
      <w:r>
        <w:rPr>
          <w:rFonts w:ascii="Arial" w:cs="Arial" w:eastAsia="Arial" w:hAnsi="Arial"/>
          <w:sz w:val="18"/>
          <w:szCs w:val="18"/>
          <w:color w:val="auto"/>
        </w:rPr>
        <w:t>.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151" w:lineRule="exact"/>
        <w:rPr>
          <w:sz w:val="20"/>
          <w:szCs w:val="20"/>
          <w:color w:val="auto"/>
        </w:rPr>
      </w:pPr>
    </w:p>
    <w:p>
      <w:pPr>
        <w:jc w:val="both"/>
        <w:ind w:left="40" w:right="59" w:firstLine="601"/>
        <w:spacing w:after="0" w:line="24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Limitation on Purchase of Common Stock</w:t>
      </w:r>
      <w:r>
        <w:rPr>
          <w:rFonts w:ascii="Arial" w:cs="Arial" w:eastAsia="Arial" w:hAnsi="Arial"/>
          <w:sz w:val="18"/>
          <w:szCs w:val="18"/>
          <w:color w:val="auto"/>
        </w:rPr>
        <w:t xml:space="preserve">. An Eligible Employee may be granted rights under the Plan only if such rights, together with any other rights granted to such Eligible Employee under </w:t>
      </w:r>
      <w:r>
        <w:rPr>
          <w:rFonts w:ascii="Times New Roman" w:cs="Times New Roman" w:eastAsia="Times New Roman" w:hAnsi="Times New Roman"/>
          <w:sz w:val="18"/>
          <w:szCs w:val="18"/>
          <w:color w:val="auto"/>
        </w:rPr>
        <w:t>“</w:t>
      </w:r>
      <w:r>
        <w:rPr>
          <w:rFonts w:ascii="Arial" w:cs="Arial" w:eastAsia="Arial" w:hAnsi="Arial"/>
          <w:sz w:val="18"/>
          <w:szCs w:val="18"/>
          <w:color w:val="auto"/>
        </w:rPr>
        <w:t>employee stock purchase plans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of the Company, any Parent or any Subsidiary, as specified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433070</wp:posOffset>
            </wp:positionV>
            <wp:extent cx="5662930"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65" w:name="page66"/>
    <w:bookmarkEnd w:id="65"/>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spacing w:after="0"/>
        <w:rPr>
          <w:sz w:val="20"/>
          <w:szCs w:val="20"/>
          <w:color w:val="auto"/>
        </w:rPr>
      </w:pPr>
      <w:r>
        <w:rPr>
          <w:rFonts w:ascii="Arial" w:cs="Arial" w:eastAsia="Arial" w:hAnsi="Arial"/>
          <w:sz w:val="18"/>
          <w:szCs w:val="18"/>
          <w:color w:val="auto"/>
        </w:rPr>
        <w:t>by Section 423(b)(8) of the Code, do not permit such employee</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61" w:lineRule="exact"/>
        <w:rPr>
          <w:sz w:val="20"/>
          <w:szCs w:val="20"/>
          <w:color w:val="auto"/>
        </w:rPr>
      </w:pPr>
    </w:p>
    <w:p>
      <w:pPr>
        <w:jc w:val="both"/>
        <w:ind w:left="40" w:right="59" w:firstLine="601"/>
        <w:spacing w:after="0" w:line="241"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Suspension of Payroll Deductions</w:t>
      </w:r>
      <w:r>
        <w:rPr>
          <w:rFonts w:ascii="Arial" w:cs="Arial" w:eastAsia="Arial" w:hAnsi="Arial"/>
          <w:sz w:val="18"/>
          <w:szCs w:val="18"/>
          <w:color w:val="auto"/>
        </w:rPr>
        <w:t>. Notwithstanding the foregoing, to the extent necessary to comply with Section 423(b)(8) of the Code and Section 5.5 or the other limitations set forth in this Plan,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368" w:lineRule="exact"/>
        <w:rPr>
          <w:sz w:val="20"/>
          <w:szCs w:val="20"/>
          <w:color w:val="auto"/>
        </w:rPr>
      </w:pPr>
    </w:p>
    <w:p>
      <w:pPr>
        <w:jc w:val="both"/>
        <w:ind w:left="40" w:right="59" w:firstLine="601"/>
        <w:spacing w:after="0" w:line="23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Foreign Employees</w:t>
      </w:r>
      <w:r>
        <w:rPr>
          <w:rFonts w:ascii="Arial" w:cs="Arial" w:eastAsia="Arial" w:hAnsi="Arial"/>
          <w:sz w:val="18"/>
          <w:szCs w:val="18"/>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spacing w:after="0" w:line="166"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Leave of Absence</w:t>
      </w:r>
      <w:r>
        <w:rPr>
          <w:rFonts w:ascii="Arial" w:cs="Arial" w:eastAsia="Arial" w:hAnsi="Arial"/>
          <w:sz w:val="18"/>
          <w:szCs w:val="18"/>
          <w:color w:val="auto"/>
        </w:rPr>
        <w:t>. During leaves of absence approved by the Company meeting the requirements of Treasury Regulation Section 1.421-1(h)(2) under the Code, a Participant may continue participation in the Plan by making cash payments to the Company on his or her normal payday equal to his or her authorized payroll deduction.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 AND EXERCISE OF RIGHTS</w:t>
      </w:r>
    </w:p>
    <w:p>
      <w:pPr>
        <w:spacing w:after="0" w:line="176" w:lineRule="exact"/>
        <w:rPr>
          <w:sz w:val="20"/>
          <w:szCs w:val="20"/>
          <w:color w:val="auto"/>
        </w:rPr>
      </w:pPr>
    </w:p>
    <w:p>
      <w:pPr>
        <w:jc w:val="both"/>
        <w:ind w:left="40" w:right="59" w:firstLine="601"/>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Rights</w:t>
      </w:r>
      <w:r>
        <w:rPr>
          <w:rFonts w:ascii="Arial" w:cs="Arial" w:eastAsia="Arial" w:hAnsi="Arial"/>
          <w:sz w:val="18"/>
          <w:szCs w:val="18"/>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payroll deductions accumulated prior to such Purchase Date and retained in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account as of the Purchase Date, by (b) the applicable Purchase Price (rounded down to the nearest Share). The right shall expire on the earlier of: (x) the last Purchase Date of such Offering Period, (y) last day of such Offering Period and (z) the date on which such Participant withdraws in accordance with Section 7.1 or Section 7.3.</w:t>
      </w:r>
    </w:p>
    <w:p>
      <w:pPr>
        <w:spacing w:after="0" w:line="165" w:lineRule="exact"/>
        <w:rPr>
          <w:sz w:val="20"/>
          <w:szCs w:val="20"/>
          <w:color w:val="auto"/>
        </w:rPr>
      </w:pPr>
    </w:p>
    <w:p>
      <w:pPr>
        <w:jc w:val="both"/>
        <w:ind w:left="40" w:right="59" w:firstLine="601"/>
        <w:spacing w:after="0" w:line="24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Exercise of Rights</w:t>
      </w:r>
      <w:r>
        <w:rPr>
          <w:rFonts w:ascii="Arial" w:cs="Arial" w:eastAsia="Arial" w:hAnsi="Arial"/>
          <w:sz w:val="18"/>
          <w:szCs w:val="18"/>
          <w:color w:val="auto"/>
        </w:rPr>
        <w:t>. On each Purchase Date, each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433070</wp:posOffset>
            </wp:positionV>
            <wp:extent cx="5662930"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66" w:name="page67"/>
    <w:bookmarkEnd w:id="66"/>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8"/>
          <w:szCs w:val="18"/>
          <w:color w:val="auto"/>
        </w:rPr>
        <w:t>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carried forward and applied toward the purchase of whole Shares for the following Offering Period. Shares issued pursuant to the Plan may be evidenced in such manner as the Administrator may determine and may be issued in certificated form or issued pursuant to book-entry procedures.</w:t>
      </w:r>
    </w:p>
    <w:p>
      <w:pPr>
        <w:spacing w:after="0" w:line="164" w:lineRule="exact"/>
        <w:rPr>
          <w:sz w:val="20"/>
          <w:szCs w:val="20"/>
          <w:color w:val="auto"/>
        </w:rPr>
      </w:pPr>
    </w:p>
    <w:p>
      <w:pPr>
        <w:jc w:val="both"/>
        <w:ind w:left="40" w:right="59" w:firstLine="601"/>
        <w:spacing w:after="0" w:line="23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Pro Rata Allocation of Shares</w:t>
      </w:r>
      <w:r>
        <w:rPr>
          <w:rFonts w:ascii="Arial" w:cs="Arial" w:eastAsia="Arial" w:hAnsi="Arial"/>
          <w:sz w:val="18"/>
          <w:szCs w:val="18"/>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w:t>
      </w:r>
    </w:p>
    <w:p>
      <w:pPr>
        <w:spacing w:after="0" w:line="165"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Withholding</w:t>
      </w:r>
      <w:r>
        <w:rPr>
          <w:rFonts w:ascii="Arial" w:cs="Arial" w:eastAsia="Arial" w:hAnsi="Arial"/>
          <w:sz w:val="18"/>
          <w:szCs w:val="18"/>
          <w:color w:val="auto"/>
        </w:rPr>
        <w:t>. At the time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under the Plan are exercised, in whole or in part, or at the time some or all of the Shares issued under the Plan is disposed of, the Participant must make adequate provision for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federal, state, or other tax withholding obligations, if any, that arise upon the exercise of the right or the disposition of the Shares. At any time, the Company may, but shall not be obligated to, withhold from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compensation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59"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Conditions to Issuance of Common Stock</w:t>
      </w:r>
      <w:r>
        <w:rPr>
          <w:rFonts w:ascii="Arial" w:cs="Arial" w:eastAsia="Arial" w:hAnsi="Arial"/>
          <w:sz w:val="18"/>
          <w:szCs w:val="18"/>
          <w:color w:val="auto"/>
        </w:rPr>
        <w:t>. 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150" w:lineRule="exact"/>
        <w:rPr>
          <w:sz w:val="20"/>
          <w:szCs w:val="20"/>
          <w:color w:val="auto"/>
        </w:rPr>
      </w:pPr>
    </w:p>
    <w:p>
      <w:pPr>
        <w:ind w:left="40" w:right="59" w:firstLine="605"/>
        <w:spacing w:after="0" w:line="273" w:lineRule="auto"/>
        <w:tabs>
          <w:tab w:leader="none" w:pos="9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if any, on which the Common Stock is then listed;</w:t>
      </w:r>
    </w:p>
    <w:p>
      <w:pPr>
        <w:spacing w:after="0" w:line="130" w:lineRule="exact"/>
        <w:rPr>
          <w:rFonts w:ascii="Arial" w:cs="Arial" w:eastAsia="Arial" w:hAnsi="Arial"/>
          <w:sz w:val="18"/>
          <w:szCs w:val="18"/>
          <w:color w:val="auto"/>
        </w:rPr>
      </w:pPr>
    </w:p>
    <w:p>
      <w:pPr>
        <w:jc w:val="both"/>
        <w:ind w:left="40" w:right="59" w:firstLine="605"/>
        <w:spacing w:after="0" w:line="252" w:lineRule="auto"/>
        <w:tabs>
          <w:tab w:leader="none" w:pos="9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149" w:lineRule="exact"/>
        <w:rPr>
          <w:rFonts w:ascii="Arial" w:cs="Arial" w:eastAsia="Arial" w:hAnsi="Arial"/>
          <w:sz w:val="18"/>
          <w:szCs w:val="18"/>
          <w:color w:val="auto"/>
        </w:rPr>
      </w:pPr>
    </w:p>
    <w:p>
      <w:pPr>
        <w:ind w:left="40" w:right="59" w:firstLine="605"/>
        <w:spacing w:after="0" w:line="273" w:lineRule="auto"/>
        <w:tabs>
          <w:tab w:leader="none" w:pos="9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that the Administrator shall, in its absolute discretion, determine to be necessary or advisable;</w:t>
      </w:r>
    </w:p>
    <w:p>
      <w:pPr>
        <w:spacing w:after="0" w:line="130" w:lineRule="exact"/>
        <w:rPr>
          <w:rFonts w:ascii="Arial" w:cs="Arial" w:eastAsia="Arial" w:hAnsi="Arial"/>
          <w:sz w:val="18"/>
          <w:szCs w:val="18"/>
          <w:color w:val="auto"/>
        </w:rPr>
      </w:pPr>
    </w:p>
    <w:p>
      <w:pPr>
        <w:ind w:left="40" w:right="59" w:firstLine="605"/>
        <w:spacing w:after="0" w:line="273" w:lineRule="auto"/>
        <w:tabs>
          <w:tab w:leader="none" w:pos="9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payment to the Company of all amounts that it is required to withhold under federal, state or local law upon exercise of the rights, if any; and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443230</wp:posOffset>
            </wp:positionV>
            <wp:extent cx="5662930"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67" w:name="page68"/>
    <w:bookmarkEnd w:id="67"/>
    <w:p>
      <w:pPr>
        <w:jc w:val="right"/>
        <w:ind w:right="59"/>
        <w:spacing w:after="0"/>
        <w:rPr>
          <w:sz w:val="20"/>
          <w:szCs w:val="20"/>
          <w:color w:val="auto"/>
        </w:rPr>
      </w:pPr>
      <w:r>
        <w:rPr>
          <w:rFonts w:ascii="Arial" w:cs="Arial" w:eastAsia="Arial" w:hAnsi="Arial"/>
          <w:sz w:val="17"/>
          <w:szCs w:val="17"/>
          <w:b w:val="1"/>
          <w:bCs w:val="1"/>
          <w:u w:val="single" w:color="auto"/>
          <w:color w:val="auto"/>
        </w:rPr>
        <w:t>APPENDIX C</w:t>
      </w:r>
    </w:p>
    <w:p>
      <w:pPr>
        <w:spacing w:after="0" w:line="6" w:lineRule="exact"/>
        <w:rPr>
          <w:sz w:val="20"/>
          <w:szCs w:val="20"/>
          <w:color w:val="auto"/>
        </w:rPr>
      </w:pPr>
    </w:p>
    <w:p>
      <w:pPr>
        <w:ind w:left="40" w:right="59" w:firstLine="605"/>
        <w:spacing w:after="0" w:line="252" w:lineRule="auto"/>
        <w:tabs>
          <w:tab w:leader="none" w:pos="9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rights as the Administrator may from time to time establish for reasons of administrative convenience.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WITHDRAWAL; CESSATION OF ELIGIBILITY</w:t>
      </w:r>
    </w:p>
    <w:p>
      <w:pPr>
        <w:spacing w:after="0" w:line="176" w:lineRule="exact"/>
        <w:rPr>
          <w:sz w:val="20"/>
          <w:szCs w:val="20"/>
          <w:color w:val="auto"/>
        </w:rPr>
      </w:pPr>
    </w:p>
    <w:p>
      <w:pPr>
        <w:jc w:val="both"/>
        <w:ind w:left="40" w:right="59" w:firstLine="601"/>
        <w:spacing w:after="0" w:line="23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or, if earlier, the end of the Purchase Period (or such shorter or longer period as may be specified by the Administrator in the Offering Document). All of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payroll deductions credited to his or her account during the Offering Period not yet used to exercise his or her rights under the Plan shall be paid to such Participant as soon as reasonably practicable after receipt of notice of withdrawal and such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agreement.</w:t>
      </w:r>
    </w:p>
    <w:p>
      <w:pPr>
        <w:spacing w:after="0" w:line="161" w:lineRule="exact"/>
        <w:rPr>
          <w:sz w:val="20"/>
          <w:szCs w:val="20"/>
          <w:color w:val="auto"/>
        </w:rPr>
      </w:pPr>
    </w:p>
    <w:p>
      <w:pPr>
        <w:jc w:val="both"/>
        <w:ind w:left="40" w:right="59" w:firstLine="601"/>
        <w:spacing w:after="0" w:line="250"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Future Participation</w:t>
      </w:r>
      <w:r>
        <w:rPr>
          <w:rFonts w:ascii="Arial" w:cs="Arial" w:eastAsia="Arial" w:hAnsi="Arial"/>
          <w:sz w:val="18"/>
          <w:szCs w:val="18"/>
          <w:color w:val="auto"/>
        </w:rPr>
        <w:t>.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51" w:lineRule="exact"/>
        <w:rPr>
          <w:sz w:val="20"/>
          <w:szCs w:val="20"/>
          <w:color w:val="auto"/>
        </w:rPr>
      </w:pPr>
    </w:p>
    <w:p>
      <w:pPr>
        <w:jc w:val="both"/>
        <w:ind w:left="40" w:right="59" w:firstLine="601"/>
        <w:spacing w:after="0" w:line="24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Cessation of Eligibility</w:t>
      </w:r>
      <w:r>
        <w:rPr>
          <w:rFonts w:ascii="Arial" w:cs="Arial" w:eastAsia="Arial" w:hAnsi="Arial"/>
          <w:sz w:val="18"/>
          <w:szCs w:val="18"/>
          <w:color w:val="auto"/>
        </w:rPr>
        <w:t>. Upon a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ceasing to be an Eligible Employee for any reason, he or she shall be deemed to have elected to withdraw from the Plan pursuant to this Article VII and the payroll deductions credited to such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account during the Offering Period shall be paid to such Participant or, in the case of his or her death, to the person or persons entitled thereto under Section 12.4, as soon as reasonably practicable, and such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for the Offering Period shall be automatically terminated.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ADJUSTMENTS UPON CHANGES IN STOCK</w:t>
      </w:r>
    </w:p>
    <w:p>
      <w:pPr>
        <w:spacing w:after="0" w:line="176" w:lineRule="exact"/>
        <w:rPr>
          <w:sz w:val="20"/>
          <w:szCs w:val="20"/>
          <w:color w:val="auto"/>
        </w:rPr>
      </w:pPr>
    </w:p>
    <w:p>
      <w:pPr>
        <w:jc w:val="both"/>
        <w:ind w:left="40" w:right="59" w:firstLine="601"/>
        <w:spacing w:after="0" w:line="23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433070</wp:posOffset>
            </wp:positionV>
            <wp:extent cx="5662930"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68" w:name="page69"/>
    <w:bookmarkEnd w:id="68"/>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8"/>
          <w:szCs w:val="18"/>
          <w:color w:val="auto"/>
        </w:rPr>
        <w:t>the class(es) and number of Shares and price per Share subject to outstanding rights; and (c) the Purchase Price with respect to any outstanding rights.</w:t>
      </w:r>
    </w:p>
    <w:p>
      <w:pPr>
        <w:spacing w:after="0" w:line="149" w:lineRule="exact"/>
        <w:rPr>
          <w:sz w:val="20"/>
          <w:szCs w:val="20"/>
          <w:color w:val="auto"/>
        </w:rPr>
      </w:pPr>
    </w:p>
    <w:p>
      <w:pPr>
        <w:jc w:val="both"/>
        <w:ind w:left="40" w:right="59" w:firstLine="601"/>
        <w:spacing w:after="0" w:line="23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Adjustments</w:t>
      </w:r>
      <w:r>
        <w:rPr>
          <w:rFonts w:ascii="Arial" w:cs="Arial" w:eastAsia="Arial" w:hAnsi="Arial"/>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164" w:lineRule="exact"/>
        <w:rPr>
          <w:sz w:val="20"/>
          <w:szCs w:val="20"/>
          <w:color w:val="auto"/>
        </w:rPr>
      </w:pPr>
    </w:p>
    <w:p>
      <w:pPr>
        <w:jc w:val="both"/>
        <w:ind w:left="40" w:right="59" w:firstLine="605"/>
        <w:spacing w:after="0" w:line="245" w:lineRule="auto"/>
        <w:tabs>
          <w:tab w:leader="none" w:pos="9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56" w:lineRule="exact"/>
        <w:rPr>
          <w:rFonts w:ascii="Arial" w:cs="Arial" w:eastAsia="Arial" w:hAnsi="Arial"/>
          <w:sz w:val="18"/>
          <w:szCs w:val="18"/>
          <w:color w:val="auto"/>
        </w:rPr>
      </w:pPr>
    </w:p>
    <w:p>
      <w:pPr>
        <w:jc w:val="both"/>
        <w:ind w:left="40" w:right="59" w:firstLine="605"/>
        <w:spacing w:after="0" w:line="245" w:lineRule="auto"/>
        <w:tabs>
          <w:tab w:leader="none" w:pos="9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56" w:lineRule="exact"/>
        <w:rPr>
          <w:rFonts w:ascii="Arial" w:cs="Arial" w:eastAsia="Arial" w:hAnsi="Arial"/>
          <w:sz w:val="18"/>
          <w:szCs w:val="18"/>
          <w:color w:val="auto"/>
        </w:rPr>
      </w:pPr>
    </w:p>
    <w:p>
      <w:pPr>
        <w:jc w:val="both"/>
        <w:ind w:left="40" w:right="59" w:firstLine="605"/>
        <w:spacing w:after="0" w:line="252" w:lineRule="auto"/>
        <w:tabs>
          <w:tab w:leader="none" w:pos="9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149" w:lineRule="exact"/>
        <w:rPr>
          <w:rFonts w:ascii="Arial" w:cs="Arial" w:eastAsia="Arial" w:hAnsi="Arial"/>
          <w:sz w:val="18"/>
          <w:szCs w:val="18"/>
          <w:color w:val="auto"/>
        </w:rPr>
      </w:pPr>
    </w:p>
    <w:p>
      <w:pPr>
        <w:jc w:val="both"/>
        <w:ind w:left="40" w:right="59" w:firstLine="605"/>
        <w:spacing w:after="0" w:line="259" w:lineRule="auto"/>
        <w:tabs>
          <w:tab w:leader="none" w:pos="9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that Participants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accumulated payroll deductions may be used to purchase Common Stock prior to the next occurring Purchase Date on such date as the Administrator determines in its sole discretion and the Participants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rights under the ongoing Offering Period(s) shall be terminated; and</w:t>
      </w:r>
    </w:p>
    <w:p>
      <w:pPr>
        <w:spacing w:after="0" w:line="154" w:lineRule="exact"/>
        <w:rPr>
          <w:rFonts w:ascii="Arial" w:cs="Arial" w:eastAsia="Arial" w:hAnsi="Arial"/>
          <w:sz w:val="18"/>
          <w:szCs w:val="18"/>
          <w:color w:val="auto"/>
        </w:rPr>
      </w:pPr>
    </w:p>
    <w:p>
      <w:pPr>
        <w:ind w:left="920" w:hanging="275"/>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that all outstanding rights shall terminate without being exercised.</w:t>
      </w:r>
    </w:p>
    <w:p>
      <w:pPr>
        <w:spacing w:after="0" w:line="194"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Adjustment Under Certain Circumstances</w:t>
      </w:r>
      <w:r>
        <w:rPr>
          <w:rFonts w:ascii="Arial" w:cs="Arial" w:eastAsia="Arial" w:hAnsi="Arial"/>
          <w:sz w:val="18"/>
          <w:szCs w:val="18"/>
          <w:color w:val="auto"/>
        </w:rPr>
        <w:t>. No adjustment or action described in this Article VIII or in any other provision of the Plan shall be authorized to the extent that such adjustment or action would cause the Plan to fail to satisfy the requirements of Section 423 of the Code.</w:t>
      </w:r>
    </w:p>
    <w:p>
      <w:pPr>
        <w:spacing w:after="0" w:line="150" w:lineRule="exact"/>
        <w:rPr>
          <w:sz w:val="20"/>
          <w:szCs w:val="20"/>
          <w:color w:val="auto"/>
        </w:rPr>
      </w:pPr>
    </w:p>
    <w:p>
      <w:pPr>
        <w:jc w:val="both"/>
        <w:ind w:left="40" w:right="59" w:firstLine="601"/>
        <w:spacing w:after="0" w:line="23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433070</wp:posOffset>
            </wp:positionV>
            <wp:extent cx="5662930"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69" w:name="page70"/>
    <w:bookmarkEnd w:id="69"/>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176" w:lineRule="exact"/>
        <w:rPr>
          <w:sz w:val="20"/>
          <w:szCs w:val="20"/>
          <w:color w:val="auto"/>
        </w:rPr>
      </w:pPr>
    </w:p>
    <w:p>
      <w:pPr>
        <w:jc w:val="both"/>
        <w:ind w:left="40" w:right="59" w:firstLine="601"/>
        <w:spacing w:after="0" w:line="24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 Modification and Termination</w:t>
      </w:r>
      <w:r>
        <w:rPr>
          <w:rFonts w:ascii="Arial" w:cs="Arial" w:eastAsia="Arial" w:hAnsi="Arial"/>
          <w:sz w:val="18"/>
          <w:szCs w:val="18"/>
          <w:color w:val="auto"/>
        </w:rPr>
        <w:t xml:space="preserve">. The Administrator may amend, suspend or terminate the Plan at any time and from time to time;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approval of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s stockholders shall be required to amend the Plan to: (a) increase the aggregate number, or change the type, of shares that may be sold pursuant to rights under the Plan under Section 3.1 (other than an adjustment as provided by Article VIII); (b) change the Plan in any manner that would be considered the adoption of a new plan within the meaning of Treasury regulation Section 1.423-2(c)(4); or (c) change the Plan in any manner that would cause the Plan to no longer be an </w:t>
      </w:r>
      <w:r>
        <w:rPr>
          <w:rFonts w:ascii="Times New Roman" w:cs="Times New Roman" w:eastAsia="Times New Roman" w:hAnsi="Times New Roman"/>
          <w:sz w:val="18"/>
          <w:szCs w:val="18"/>
          <w:color w:val="auto"/>
        </w:rPr>
        <w:t>“</w:t>
      </w:r>
      <w:r>
        <w:rPr>
          <w:rFonts w:ascii="Arial" w:cs="Arial" w:eastAsia="Arial" w:hAnsi="Arial"/>
          <w:sz w:val="18"/>
          <w:szCs w:val="18"/>
          <w:color w:val="auto"/>
        </w:rPr>
        <w:t>employee stock purchase plan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within the meaning of Section 423(b) of the Code.</w:t>
      </w:r>
    </w:p>
    <w:p>
      <w:pPr>
        <w:spacing w:after="0" w:line="366" w:lineRule="exact"/>
        <w:rPr>
          <w:sz w:val="20"/>
          <w:szCs w:val="20"/>
          <w:color w:val="auto"/>
        </w:rPr>
      </w:pPr>
    </w:p>
    <w:p>
      <w:pPr>
        <w:jc w:val="both"/>
        <w:ind w:left="40" w:right="59" w:firstLine="601"/>
        <w:spacing w:after="0" w:line="23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Certain Changes to Plan</w:t>
      </w:r>
      <w:r>
        <w:rPr>
          <w:rFonts w:ascii="Arial" w:cs="Arial" w:eastAsia="Arial" w:hAnsi="Arial"/>
          <w:sz w:val="18"/>
          <w:szCs w:val="18"/>
          <w:color w:val="auto"/>
        </w:rPr>
        <w:t>.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Compensation, and establish such other limitations or procedures as the Administrator determines in its sole discretion to be advisable that are consistent with the Plan.</w:t>
      </w:r>
    </w:p>
    <w:p>
      <w:pPr>
        <w:spacing w:after="0" w:line="161" w:lineRule="exact"/>
        <w:rPr>
          <w:sz w:val="20"/>
          <w:szCs w:val="20"/>
          <w:color w:val="auto"/>
        </w:rPr>
      </w:pPr>
    </w:p>
    <w:p>
      <w:pPr>
        <w:jc w:val="both"/>
        <w:ind w:left="40" w:right="59" w:firstLine="601"/>
        <w:spacing w:after="0" w:line="24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Actions In the Event of Unfavorable Financial Accounting Consequences</w:t>
      </w:r>
      <w:r>
        <w:rPr>
          <w:rFonts w:ascii="Arial" w:cs="Arial" w:eastAsia="Arial" w:hAnsi="Arial"/>
          <w:sz w:val="18"/>
          <w:szCs w:val="18"/>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157" w:lineRule="exact"/>
        <w:rPr>
          <w:sz w:val="20"/>
          <w:szCs w:val="20"/>
          <w:color w:val="auto"/>
        </w:rPr>
      </w:pPr>
    </w:p>
    <w:p>
      <w:pPr>
        <w:ind w:left="40" w:right="59" w:firstLine="605"/>
        <w:spacing w:after="0" w:line="273" w:lineRule="auto"/>
        <w:tabs>
          <w:tab w:leader="none" w:pos="9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including an Offering Period underway at the time of the change in Purchase Price;</w:t>
      </w:r>
    </w:p>
    <w:p>
      <w:pPr>
        <w:spacing w:after="0" w:line="130" w:lineRule="exact"/>
        <w:rPr>
          <w:rFonts w:ascii="Arial" w:cs="Arial" w:eastAsia="Arial" w:hAnsi="Arial"/>
          <w:sz w:val="18"/>
          <w:szCs w:val="18"/>
          <w:color w:val="auto"/>
        </w:rPr>
      </w:pPr>
    </w:p>
    <w:p>
      <w:pPr>
        <w:ind w:left="40" w:right="59" w:firstLine="605"/>
        <w:spacing w:after="0" w:line="273"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Administrator action; and</w:t>
      </w:r>
    </w:p>
    <w:p>
      <w:pPr>
        <w:spacing w:after="0" w:line="130" w:lineRule="exact"/>
        <w:rPr>
          <w:rFonts w:ascii="Arial" w:cs="Arial" w:eastAsia="Arial" w:hAnsi="Arial"/>
          <w:sz w:val="18"/>
          <w:szCs w:val="18"/>
          <w:color w:val="auto"/>
        </w:rPr>
      </w:pPr>
    </w:p>
    <w:p>
      <w:pPr>
        <w:ind w:left="920" w:hanging="275"/>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allocating Shares.</w:t>
      </w:r>
    </w:p>
    <w:p>
      <w:pPr>
        <w:spacing w:after="0" w:line="194" w:lineRule="exact"/>
        <w:rPr>
          <w:sz w:val="20"/>
          <w:szCs w:val="20"/>
          <w:color w:val="auto"/>
        </w:rPr>
      </w:pPr>
    </w:p>
    <w:p>
      <w:pPr>
        <w:ind w:left="40" w:right="639" w:firstLine="601"/>
        <w:spacing w:after="0" w:line="273" w:lineRule="auto"/>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130" w:lineRule="exact"/>
        <w:rPr>
          <w:sz w:val="20"/>
          <w:szCs w:val="20"/>
          <w:color w:val="auto"/>
        </w:rPr>
      </w:pPr>
    </w:p>
    <w:p>
      <w:pPr>
        <w:jc w:val="both"/>
        <w:ind w:left="40" w:right="59" w:firstLine="601"/>
        <w:spacing w:after="0" w:line="26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Payments Upon Termination of Plan</w:t>
      </w:r>
      <w:r>
        <w:rPr>
          <w:rFonts w:ascii="Arial" w:cs="Arial" w:eastAsia="Arial" w:hAnsi="Arial"/>
          <w:sz w:val="18"/>
          <w:szCs w:val="18"/>
          <w:color w:val="auto"/>
        </w:rPr>
        <w:t>. Upon termination of the Plan, the balance in each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Plan account shall be refunded as soon as practicable after such termination, without any interest thereon.</w:t>
      </w:r>
    </w:p>
    <w:p>
      <w:pPr>
        <w:spacing w:after="0" w:line="35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ARTICLE X.</w:t>
      </w:r>
    </w:p>
    <w:p>
      <w:pPr>
        <w:spacing w:after="0" w:line="1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TERM OF PLAN</w:t>
      </w:r>
    </w:p>
    <w:p>
      <w:pPr>
        <w:spacing w:after="0" w:line="176" w:lineRule="exact"/>
        <w:rPr>
          <w:sz w:val="20"/>
          <w:szCs w:val="20"/>
          <w:color w:val="auto"/>
        </w:rPr>
      </w:pPr>
    </w:p>
    <w:p>
      <w:pPr>
        <w:jc w:val="both"/>
        <w:ind w:left="40" w:right="59" w:firstLine="601"/>
        <w:spacing w:after="0" w:line="244" w:lineRule="auto"/>
        <w:rPr>
          <w:sz w:val="20"/>
          <w:szCs w:val="20"/>
          <w:color w:val="auto"/>
        </w:rPr>
      </w:pPr>
      <w:r>
        <w:rPr>
          <w:rFonts w:ascii="Arial" w:cs="Arial" w:eastAsia="Arial" w:hAnsi="Arial"/>
          <w:sz w:val="18"/>
          <w:szCs w:val="18"/>
          <w:color w:val="auto"/>
        </w:rPr>
        <w:t>The Plan shall be effective on the Effective Date. The effectiveness of the Plan shall be subject to approval of the Plan by the stockholders of the Company within 12 months following the date the</w:t>
      </w: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433070</wp:posOffset>
            </wp:positionV>
            <wp:extent cx="5662930"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70" w:name="page71"/>
    <w:bookmarkEnd w:id="70"/>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spacing w:after="0" w:line="242" w:lineRule="auto"/>
        <w:rPr>
          <w:sz w:val="20"/>
          <w:szCs w:val="20"/>
          <w:color w:val="auto"/>
        </w:rPr>
      </w:pPr>
      <w:r>
        <w:rPr>
          <w:rFonts w:ascii="Arial" w:cs="Arial" w:eastAsia="Arial" w:hAnsi="Arial"/>
          <w:sz w:val="18"/>
          <w:szCs w:val="18"/>
          <w:color w:val="auto"/>
        </w:rPr>
        <w:t>Plan is first approved by the Board. No right may be granted under the Plan prior to such stockholder approval. No rights may be granted under the Plan during any period of suspension of the Plan or after termination of the Plan.</w:t>
      </w:r>
    </w:p>
    <w:p>
      <w:pPr>
        <w:spacing w:after="0" w:line="15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ARTICLE XI.</w:t>
      </w:r>
    </w:p>
    <w:p>
      <w:pPr>
        <w:spacing w:after="0" w:line="1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ADMINISTRATION</w:t>
      </w:r>
    </w:p>
    <w:p>
      <w:pPr>
        <w:spacing w:after="0" w:line="176" w:lineRule="exact"/>
        <w:rPr>
          <w:sz w:val="20"/>
          <w:szCs w:val="20"/>
          <w:color w:val="auto"/>
        </w:rPr>
      </w:pPr>
    </w:p>
    <w:p>
      <w:pPr>
        <w:jc w:val="both"/>
        <w:ind w:left="40" w:right="59" w:firstLine="601"/>
        <w:spacing w:after="0" w:line="250"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Unless otherwise determined by the Board, the Administrator of the Plan shall be the Compensation Committee of the Board (or another committee or a subcommittee of the Board to which the Board delegates administration of the Plan) (such committee, the </w:t>
      </w: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Committee</w:t>
      </w:r>
      <w:r>
        <w:rPr>
          <w:rFonts w:ascii="Times New Roman" w:cs="Times New Roman" w:eastAsia="Times New Roman" w:hAnsi="Times New Roman"/>
          <w:sz w:val="18"/>
          <w:szCs w:val="18"/>
          <w:color w:val="auto"/>
        </w:rPr>
        <w:t>”</w:t>
      </w:r>
      <w:r>
        <w:rPr>
          <w:rFonts w:ascii="Arial" w:cs="Arial" w:eastAsia="Arial" w:hAnsi="Arial"/>
          <w:sz w:val="18"/>
          <w:szCs w:val="18"/>
          <w:color w:val="auto"/>
        </w:rPr>
        <w:t>). The Board may at any time vest in the Board any authority or duties for administration of the Plan.</w:t>
      </w:r>
    </w:p>
    <w:p>
      <w:pPr>
        <w:spacing w:after="0" w:line="151" w:lineRule="exact"/>
        <w:rPr>
          <w:sz w:val="20"/>
          <w:szCs w:val="20"/>
          <w:color w:val="auto"/>
        </w:rPr>
      </w:pPr>
    </w:p>
    <w:p>
      <w:pPr>
        <w:jc w:val="both"/>
        <w:ind w:left="40" w:right="59" w:firstLine="601"/>
        <w:spacing w:after="0" w:line="23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Action by the Administrator</w:t>
      </w:r>
      <w:r>
        <w:rPr>
          <w:rFonts w:ascii="Arial" w:cs="Arial" w:eastAsia="Arial" w:hAnsi="Arial"/>
          <w:sz w:val="18"/>
          <w:szCs w:val="18"/>
          <w:color w:val="auto"/>
        </w:rPr>
        <w:t>.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Subsidiary,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independent certified public accountants, or any executive compensation consultant or other professional retained by the Company to assist in the administration of the Plan.</w:t>
      </w:r>
    </w:p>
    <w:p>
      <w:pPr>
        <w:spacing w:after="0" w:line="161" w:lineRule="exact"/>
        <w:rPr>
          <w:sz w:val="20"/>
          <w:szCs w:val="20"/>
          <w:color w:val="auto"/>
        </w:rPr>
      </w:pPr>
    </w:p>
    <w:p>
      <w:pPr>
        <w:jc w:val="both"/>
        <w:ind w:left="40" w:right="59" w:firstLine="601"/>
        <w:spacing w:after="0" w:line="27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The Administrator shall have the power, subject to, and within the limitations of, the express provisions of the Plan:</w:t>
      </w:r>
    </w:p>
    <w:p>
      <w:pPr>
        <w:spacing w:after="0" w:line="130" w:lineRule="exact"/>
        <w:rPr>
          <w:sz w:val="20"/>
          <w:szCs w:val="20"/>
          <w:color w:val="auto"/>
        </w:rPr>
      </w:pPr>
    </w:p>
    <w:p>
      <w:pPr>
        <w:ind w:left="40" w:right="59" w:firstLine="605"/>
        <w:spacing w:after="0" w:line="273"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determine when and how rights to purchase Shares shall be granted and the provisions of each offering of such rights (which need not be identical).</w:t>
      </w:r>
    </w:p>
    <w:p>
      <w:pPr>
        <w:spacing w:after="0" w:line="130" w:lineRule="exact"/>
        <w:rPr>
          <w:rFonts w:ascii="Arial" w:cs="Arial" w:eastAsia="Arial" w:hAnsi="Arial"/>
          <w:sz w:val="18"/>
          <w:szCs w:val="18"/>
          <w:color w:val="auto"/>
        </w:rPr>
      </w:pPr>
    </w:p>
    <w:p>
      <w:pPr>
        <w:ind w:left="40" w:right="59" w:firstLine="605"/>
        <w:spacing w:after="0" w:line="273" w:lineRule="auto"/>
        <w:tabs>
          <w:tab w:leader="none" w:pos="9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designate from time to time which Subsidiaries of the Company shall be Designated Subsidiaries, which designation may be made without the approval of the stockholders of the Company.</w:t>
      </w:r>
    </w:p>
    <w:p>
      <w:pPr>
        <w:spacing w:after="0" w:line="130" w:lineRule="exact"/>
        <w:rPr>
          <w:rFonts w:ascii="Arial" w:cs="Arial" w:eastAsia="Arial" w:hAnsi="Arial"/>
          <w:sz w:val="18"/>
          <w:szCs w:val="18"/>
          <w:color w:val="auto"/>
        </w:rPr>
      </w:pPr>
    </w:p>
    <w:p>
      <w:pPr>
        <w:jc w:val="both"/>
        <w:ind w:left="40" w:right="59" w:firstLine="605"/>
        <w:spacing w:after="0" w:line="245" w:lineRule="auto"/>
        <w:tabs>
          <w:tab w:leader="none" w:pos="9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56" w:lineRule="exact"/>
        <w:rPr>
          <w:rFonts w:ascii="Arial" w:cs="Arial" w:eastAsia="Arial" w:hAnsi="Arial"/>
          <w:sz w:val="18"/>
          <w:szCs w:val="18"/>
          <w:color w:val="auto"/>
        </w:rPr>
      </w:pPr>
    </w:p>
    <w:p>
      <w:pPr>
        <w:ind w:left="920" w:hanging="275"/>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amend, suspend or terminate the Plan as provided in Article IX.</w:t>
      </w:r>
    </w:p>
    <w:p>
      <w:pPr>
        <w:spacing w:after="0" w:line="193" w:lineRule="exact"/>
        <w:rPr>
          <w:rFonts w:ascii="Arial" w:cs="Arial" w:eastAsia="Arial" w:hAnsi="Arial"/>
          <w:sz w:val="18"/>
          <w:szCs w:val="18"/>
          <w:color w:val="auto"/>
        </w:rPr>
      </w:pPr>
    </w:p>
    <w:p>
      <w:pPr>
        <w:jc w:val="both"/>
        <w:ind w:left="40" w:right="59" w:firstLine="605"/>
        <w:spacing w:after="0" w:line="251" w:lineRule="auto"/>
        <w:tabs>
          <w:tab w:leader="none" w:pos="9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Generally, to exercise such powers and to perform such acts as the Administrator deems necessary or expedient to promote the best interests of the Company and its Subsidiaries and to carry out the intent that the Plan be treated as an </w:t>
      </w:r>
      <w:r>
        <w:rPr>
          <w:rFonts w:ascii="Times New Roman" w:cs="Times New Roman" w:eastAsia="Times New Roman" w:hAnsi="Times New Roman"/>
          <w:sz w:val="18"/>
          <w:szCs w:val="18"/>
          <w:color w:val="auto"/>
        </w:rPr>
        <w:t>“</w:t>
      </w:r>
      <w:r>
        <w:rPr>
          <w:rFonts w:ascii="Arial" w:cs="Arial" w:eastAsia="Arial" w:hAnsi="Arial"/>
          <w:sz w:val="18"/>
          <w:szCs w:val="18"/>
          <w:color w:val="auto"/>
        </w:rPr>
        <w:t>employee stock purchase plan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within the meaning of Section 423 of the Code.</w:t>
      </w:r>
    </w:p>
    <w:p>
      <w:pPr>
        <w:spacing w:after="0" w:line="364" w:lineRule="exact"/>
        <w:rPr>
          <w:sz w:val="20"/>
          <w:szCs w:val="20"/>
          <w:color w:val="auto"/>
        </w:rPr>
      </w:pPr>
    </w:p>
    <w:p>
      <w:pPr>
        <w:jc w:val="both"/>
        <w:ind w:left="40" w:right="59" w:firstLine="601"/>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Administrator</w:t>
      </w:r>
      <w:r>
        <w:rPr>
          <w:rFonts w:ascii="Times New Roman" w:cs="Times New Roman" w:eastAsia="Times New Roman" w:hAnsi="Times New Roman"/>
          <w:sz w:val="18"/>
          <w:szCs w:val="18"/>
          <w:color w:val="auto"/>
        </w:rPr>
        <w:t>’</w:t>
      </w:r>
      <w:r>
        <w:rPr>
          <w:rFonts w:ascii="Arial" w:cs="Arial" w:eastAsia="Arial" w:hAnsi="Arial"/>
          <w:sz w:val="18"/>
          <w:szCs w:val="18"/>
          <w:color w:val="auto"/>
        </w:rPr>
        <w:t>s interpretation of the Plan, any rights granted pursuant to the Plan, any subscription agreement and all decisions and determinations by the Administrator with respect to the Plan are final, binding, and conclusive on all parties.</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ARTICLE XII.</w:t>
      </w:r>
    </w:p>
    <w:p>
      <w:pPr>
        <w:spacing w:after="0" w:line="1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MISCELLANEOUS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443230</wp:posOffset>
            </wp:positionV>
            <wp:extent cx="5662930"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71" w:name="page72"/>
    <w:bookmarkEnd w:id="71"/>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firstLine="601"/>
        <w:spacing w:after="0" w:line="241"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Restriction upon Assignment</w:t>
      </w:r>
      <w:r>
        <w:rPr>
          <w:rFonts w:ascii="Arial" w:cs="Arial" w:eastAsia="Arial" w:hAnsi="Arial"/>
          <w:sz w:val="18"/>
          <w:szCs w:val="18"/>
          <w:color w:val="auto"/>
        </w:rPr>
        <w:t>. A right granted under the Plan shall not be transferable other than by will or the Applicable Laws of descent and distribution, and is exercisable during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interest in the Plan,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under the Plan or any rights thereunder.</w:t>
      </w:r>
    </w:p>
    <w:p>
      <w:pPr>
        <w:spacing w:after="0" w:line="161" w:lineRule="exact"/>
        <w:rPr>
          <w:sz w:val="20"/>
          <w:szCs w:val="20"/>
          <w:color w:val="auto"/>
        </w:rPr>
      </w:pPr>
    </w:p>
    <w:p>
      <w:pPr>
        <w:jc w:val="both"/>
        <w:ind w:left="40" w:right="59" w:firstLine="601"/>
        <w:spacing w:after="0" w:line="24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Rights as a Stockholder</w:t>
      </w:r>
      <w:r>
        <w:rPr>
          <w:rFonts w:ascii="Arial" w:cs="Arial" w:eastAsia="Arial" w:hAnsi="Arial"/>
          <w:sz w:val="18"/>
          <w:szCs w:val="18"/>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60" w:lineRule="exact"/>
        <w:rPr>
          <w:sz w:val="20"/>
          <w:szCs w:val="20"/>
          <w:color w:val="auto"/>
        </w:rPr>
      </w:pPr>
    </w:p>
    <w:p>
      <w:pPr>
        <w:jc w:val="both"/>
        <w:ind w:left="40" w:right="59" w:firstLine="601"/>
        <w:spacing w:after="0" w:line="27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or contributions of a Participant under the Plan.</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194" w:lineRule="exact"/>
        <w:rPr>
          <w:sz w:val="20"/>
          <w:szCs w:val="20"/>
          <w:color w:val="auto"/>
        </w:rPr>
      </w:pPr>
    </w:p>
    <w:p>
      <w:pPr>
        <w:jc w:val="both"/>
        <w:ind w:left="40" w:right="59" w:firstLine="605"/>
        <w:spacing w:after="0" w:line="245" w:lineRule="auto"/>
        <w:tabs>
          <w:tab w:leader="none" w:pos="9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Participant may, in the manner determined by the Administrator, file a written designation of a beneficiary who is to receive any Shares and/or cash, if any, from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account under the Plan in the event of such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death subsequent to a Purchase Date on which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are exercised but prior to delivery to such Participant of such Shares and cash. In addition, a Participant may file a written designation of a beneficiary who is to receive any cash from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account under the Plan in the event of such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death prior to exercise of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rights under the Plan. If the Participant is married and resides in a community property state, a designation of a person other than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spouse as his or her beneficiary shall not be effective without the prior written consent of the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spouse.</w:t>
      </w:r>
    </w:p>
    <w:p>
      <w:pPr>
        <w:spacing w:after="0" w:line="172" w:lineRule="exact"/>
        <w:rPr>
          <w:rFonts w:ascii="Arial" w:cs="Arial" w:eastAsia="Arial" w:hAnsi="Arial"/>
          <w:sz w:val="18"/>
          <w:szCs w:val="18"/>
          <w:color w:val="auto"/>
        </w:rPr>
      </w:pPr>
    </w:p>
    <w:p>
      <w:pPr>
        <w:jc w:val="both"/>
        <w:ind w:left="40" w:right="59" w:firstLine="605"/>
        <w:spacing w:after="0"/>
        <w:tabs>
          <w:tab w:leader="none" w:pos="9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w:t>
      </w:r>
      <w:r>
        <w:rPr>
          <w:rFonts w:ascii="Times New Roman" w:cs="Times New Roman" w:eastAsia="Times New Roman" w:hAnsi="Times New Roman"/>
          <w:sz w:val="18"/>
          <w:szCs w:val="18"/>
          <w:color w:val="auto"/>
        </w:rPr>
        <w:t>’</w:t>
      </w:r>
      <w:r>
        <w:rPr>
          <w:rFonts w:ascii="Arial" w:cs="Arial" w:eastAsia="Arial" w:hAnsi="Arial"/>
          <w:sz w:val="18"/>
          <w:szCs w:val="18"/>
          <w:color w:val="auto"/>
        </w:rPr>
        <w: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59"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50" w:lineRule="exact"/>
        <w:rPr>
          <w:sz w:val="20"/>
          <w:szCs w:val="20"/>
          <w:color w:val="auto"/>
        </w:rPr>
      </w:pPr>
    </w:p>
    <w:p>
      <w:pPr>
        <w:jc w:val="both"/>
        <w:ind w:left="40" w:right="59" w:firstLine="601"/>
        <w:spacing w:after="0" w:line="243"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xml:space="preserve">. Subject to Section 5.7, all Eligible Employees will have equal rights and privileges under this Plan so that this Plan qualifies as an </w:t>
      </w:r>
      <w:r>
        <w:rPr>
          <w:rFonts w:ascii="Times New Roman" w:cs="Times New Roman" w:eastAsia="Times New Roman" w:hAnsi="Times New Roman"/>
          <w:sz w:val="18"/>
          <w:szCs w:val="18"/>
          <w:color w:val="auto"/>
        </w:rPr>
        <w:t>“</w:t>
      </w:r>
      <w:r>
        <w:rPr>
          <w:rFonts w:ascii="Arial" w:cs="Arial" w:eastAsia="Arial" w:hAnsi="Arial"/>
          <w:sz w:val="18"/>
          <w:szCs w:val="18"/>
          <w:color w:val="auto"/>
        </w:rPr>
        <w:t>employee stock purchase plan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443230</wp:posOffset>
            </wp:positionV>
            <wp:extent cx="5662930" cy="2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72" w:name="page73"/>
    <w:bookmarkEnd w:id="72"/>
    <w:p>
      <w:pPr>
        <w:ind w:left="7940"/>
        <w:spacing w:after="0"/>
        <w:rPr>
          <w:sz w:val="20"/>
          <w:szCs w:val="20"/>
          <w:color w:val="auto"/>
        </w:rPr>
      </w:pPr>
      <w:r>
        <w:rPr>
          <w:rFonts w:ascii="Arial" w:cs="Arial" w:eastAsia="Arial" w:hAnsi="Arial"/>
          <w:sz w:val="16"/>
          <w:szCs w:val="16"/>
          <w:b w:val="1"/>
          <w:bCs w:val="1"/>
          <w:u w:val="single" w:color="auto"/>
          <w:color w:val="auto"/>
        </w:rPr>
        <w:t>APPENDIX C</w:t>
      </w:r>
    </w:p>
    <w:p>
      <w:pPr>
        <w:spacing w:after="0" w:line="17" w:lineRule="exact"/>
        <w:rPr>
          <w:sz w:val="20"/>
          <w:szCs w:val="20"/>
          <w:color w:val="auto"/>
        </w:rPr>
      </w:pPr>
    </w:p>
    <w:p>
      <w:pPr>
        <w:jc w:val="both"/>
        <w:ind w:left="40" w:right="59" w:firstLine="601"/>
        <w:spacing w:after="0" w:line="242"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57"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Reports</w:t>
      </w:r>
      <w:r>
        <w:rPr>
          <w:rFonts w:ascii="Arial" w:cs="Arial" w:eastAsia="Arial" w:hAnsi="Arial"/>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50" w:lineRule="exact"/>
        <w:rPr>
          <w:sz w:val="20"/>
          <w:szCs w:val="20"/>
          <w:color w:val="auto"/>
        </w:rPr>
      </w:pPr>
    </w:p>
    <w:p>
      <w:pPr>
        <w:jc w:val="both"/>
        <w:ind w:left="40" w:right="59" w:firstLine="601"/>
        <w:spacing w:after="0" w:line="24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Nothing in the Plan shall be construed to give any person (including any Eligible Employee or Participant) the right to employment or service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spacing w:after="0" w:line="159" w:lineRule="exact"/>
        <w:rPr>
          <w:sz w:val="20"/>
          <w:szCs w:val="20"/>
          <w:color w:val="auto"/>
        </w:rPr>
      </w:pPr>
    </w:p>
    <w:p>
      <w:pPr>
        <w:jc w:val="both"/>
        <w:ind w:left="40" w:right="59" w:firstLine="601"/>
        <w:spacing w:after="0" w:line="239"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Notice of Disposition of Shares</w:t>
      </w:r>
      <w:r>
        <w:rPr>
          <w:rFonts w:ascii="Arial" w:cs="Arial" w:eastAsia="Arial" w:hAnsi="Arial"/>
          <w:sz w:val="18"/>
          <w:szCs w:val="18"/>
          <w:color w:val="auto"/>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60" w:lineRule="exact"/>
        <w:rPr>
          <w:sz w:val="20"/>
          <w:szCs w:val="20"/>
          <w:color w:val="auto"/>
        </w:rPr>
      </w:pPr>
    </w:p>
    <w:p>
      <w:pPr>
        <w:jc w:val="both"/>
        <w:ind w:left="40" w:right="59" w:firstLine="601"/>
        <w:spacing w:after="0" w:line="252"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 or of any other jurisdiction.</w:t>
      </w:r>
    </w:p>
    <w:p>
      <w:pPr>
        <w:spacing w:after="0" w:line="150" w:lineRule="exact"/>
        <w:rPr>
          <w:sz w:val="20"/>
          <w:szCs w:val="20"/>
          <w:color w:val="auto"/>
        </w:rPr>
      </w:pPr>
    </w:p>
    <w:p>
      <w:pPr>
        <w:jc w:val="both"/>
        <w:ind w:left="40" w:right="59" w:firstLine="601"/>
        <w:spacing w:after="0" w:line="242"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Electronic Forms</w:t>
      </w:r>
      <w:r>
        <w:rPr>
          <w:rFonts w:ascii="Arial" w:cs="Arial" w:eastAsia="Arial" w:hAnsi="Arial"/>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433070</wp:posOffset>
            </wp:positionV>
            <wp:extent cx="5662930"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386080</wp:posOffset>
            </wp:positionH>
            <wp:positionV relativeFrom="page">
              <wp:posOffset>88900</wp:posOffset>
            </wp:positionV>
            <wp:extent cx="6768465" cy="90830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68465" cy="908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386080</wp:posOffset>
            </wp:positionH>
            <wp:positionV relativeFrom="page">
              <wp:posOffset>88900</wp:posOffset>
            </wp:positionV>
            <wp:extent cx="6768465" cy="90906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68465" cy="9090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bullet"/>
      <w:start w:val="1"/>
    </w:lvl>
  </w:abstractNum>
  <w:abstractNum w:abstractNumId="5">
    <w:nsid w:val="8EDBDAB"/>
    <w:multiLevelType w:val="hybridMultilevel"/>
    <w:lvl w:ilvl="0">
      <w:lvlJc w:val="left"/>
      <w:lvlText w:val="2"/>
      <w:numFmt w:val="bullet"/>
      <w:start w:val="1"/>
    </w:lvl>
  </w:abstractNum>
  <w:abstractNum w:abstractNumId="6">
    <w:nsid w:val="79838CB2"/>
    <w:multiLevelType w:val="hybridMultilevel"/>
    <w:lvl w:ilvl="0">
      <w:lvlJc w:val="left"/>
      <w:lvlText w:val="3"/>
      <w:numFmt w:val="bullet"/>
      <w:start w:val="1"/>
    </w:lvl>
  </w:abstractNum>
  <w:abstractNum w:abstractNumId="7">
    <w:nsid w:val="4353D0CD"/>
    <w:multiLevelType w:val="hybridMultilevel"/>
    <w:lvl w:ilvl="0">
      <w:lvlJc w:val="left"/>
      <w:lvlText w:val="4"/>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8"/>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6"/>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4"/>
    </w:lvl>
  </w:abstractNum>
  <w:abstractNum w:abstractNumId="18">
    <w:nsid w:val="7C3DBD3D"/>
    <w:multiLevelType w:val="hybridMultilevel"/>
    <w:lvl w:ilvl="0">
      <w:lvlJc w:val="left"/>
      <w:lvlText w:val="(%1)"/>
      <w:numFmt w:val="lowerRoman"/>
      <w:start w:val="2"/>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2"/>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6"/>
    </w:lvl>
  </w:abstractNum>
  <w:abstractNum w:abstractNumId="25">
    <w:nsid w:val="419AC241"/>
    <w:multiLevelType w:val="hybridMultilevel"/>
    <w:lvl w:ilvl="0">
      <w:lvlJc w:val="left"/>
      <w:lvlText w:val="(%1)"/>
      <w:numFmt w:val="lowerRoman"/>
      <w:start w:val="3"/>
    </w:lvl>
  </w:abstractNum>
  <w:abstractNum w:abstractNumId="26">
    <w:nsid w:val="5577F8E1"/>
    <w:multiLevelType w:val="hybridMultilevel"/>
    <w:lvl w:ilvl="0">
      <w:lvlJc w:val="left"/>
      <w:lvlText w:val="(%1)"/>
      <w:numFmt w:val="lowerRoman"/>
      <w:start w:val="2"/>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3"/>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lvl w:ilvl="1">
      <w:lvlJc w:val="left"/>
      <w:lvlText w:val="(%2)"/>
      <w:numFmt w:val="lowerLetter"/>
      <w:start w:val="2"/>
    </w:lvl>
  </w:abstractNum>
  <w:abstractNum w:abstractNumId="31">
    <w:nsid w:val="7724C67E"/>
    <w:multiLevelType w:val="hybridMultilevel"/>
    <w:lvl w:ilvl="0">
      <w:lvlJc w:val="left"/>
      <w:lvlText w:val="(%1)"/>
      <w:numFmt w:val="lowerLetter"/>
      <w:start w:val="1"/>
    </w:lvl>
    <w:lvl w:ilvl="1">
      <w:lvlJc w:val="left"/>
      <w:lvlText w:val="%2"/>
      <w:numFmt w:val="lowerLetter"/>
      <w:start w:val="1"/>
    </w:lvl>
  </w:abstractNum>
  <w:abstractNum w:abstractNumId="32">
    <w:nsid w:val="5C482A97"/>
    <w:multiLevelType w:val="hybridMultilevel"/>
    <w:lvl w:ilvl="0">
      <w:lvlJc w:val="left"/>
      <w:lvlText w:val="(%1)"/>
      <w:numFmt w:val="lowerLetter"/>
      <w:start w:val="3"/>
    </w:lvl>
    <w:lvl w:ilvl="1">
      <w:lvlJc w:val="left"/>
      <w:lvlText w:val="(%2)"/>
      <w:numFmt w:val="lowerRoman"/>
      <w:start w:val="1"/>
    </w:lvl>
  </w:abstractNum>
  <w:abstractNum w:abstractNumId="33">
    <w:nsid w:val="2463B9EA"/>
    <w:multiLevelType w:val="hybridMultilevel"/>
    <w:lvl w:ilvl="0">
      <w:lvlJc w:val="left"/>
      <w:lvlText w:val="\ldblquote"/>
      <w:numFmt w:val="bullet"/>
      <w:start w:val="1"/>
    </w:lvl>
    <w:lvl w:ilvl="1">
      <w:lvlJc w:val="left"/>
      <w:lvlText w:val="(%2)"/>
      <w:numFmt w:val="lowerLetter"/>
      <w:start w:val="1"/>
    </w:lvl>
  </w:abstractNum>
  <w:abstractNum w:abstractNumId="34">
    <w:nsid w:val="5E884ADC"/>
    <w:multiLevelType w:val="hybridMultilevel"/>
    <w:lvl w:ilvl="0">
      <w:lvlJc w:val="left"/>
      <w:lvlText w:val="(%1)"/>
      <w:numFmt w:val="lowerLetter"/>
      <w:start w:val="2"/>
    </w:lvl>
    <w:lvl w:ilvl="1">
      <w:lvlJc w:val="left"/>
      <w:lvlText w:val="(%2)"/>
      <w:numFmt w:val="lowerRoman"/>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5"/>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2026-10-26T15:48:50Z</dcterms:created>
  <dcterms:modified xsi:type="dcterms:W3CDTF">2026-10-26T15:48:50Z</dcterms:modified>
</cp:coreProperties>
</file>