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15250-6_s1a.htm"/>
      <w:bookmarkStart w:id="1" w:name="kstm26152506_s1a"/>
      <w:bookmarkEnd w:id="0"/>
      <w:bookmarkEnd w:id="1"/>
      <w:r>
        <w:rPr>
          <w:caps w:val="false"/>
          <w:smallCaps w:val="false"/>
          <w:color w:val="000000"/>
        </w:rPr>
        <w:t>​</w: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July 9,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333-297327</w:t>
      </w:r>
      <w:r>
        <w:rPr>
          <w:rFonts w:ascii="Times New Roman;Times;serif" w:hAnsi="Times New Roman;Times;serif"/>
          <w:b/>
          <w:i w:val="false"/>
          <w:caps w:val="false"/>
          <w:smallCaps w:val="false"/>
          <w:color w:val="000000"/>
          <w:sz w:val="18"/>
        </w:rPr>
        <w:t>​</w:t>
      </w:r>
    </w:p>
    <w:p>
      <w:pPr>
        <w:pStyle w:val="TextBody"/>
        <w:bidi w:val="0"/>
        <w:spacing w:before="8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7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8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Amendment No. 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9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Under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2"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AEON BIOPHARMA, INC.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141"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8"/>
              </w:rPr>
            </w:pPr>
            <w:r>
              <w:rPr>
                <w:b/>
                <w:spacing w:val="-4"/>
                <w:sz w:val="18"/>
              </w:rPr>
              <w:t>2834</w:t>
            </w:r>
            <w:r>
              <w:rPr>
                <w:b/>
                <w:sz w:val="18"/>
              </w:rPr>
              <w:t xml:space="preserve"> </w:t>
            </w:r>
          </w:p>
          <w:p>
            <w:pPr>
              <w:pStyle w:val="TableContents"/>
              <w:bidi w:val="0"/>
              <w:spacing w:lineRule="atLeast" w:line="180" w:before="36"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85-3940478</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1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5 Park Plaza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Suite 1750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Irvine, CA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(949) 354-6499 </w:t>
      </w:r>
    </w:p>
    <w:p>
      <w:pPr>
        <w:pStyle w:val="TextBody"/>
        <w:bidi w:val="0"/>
        <w:spacing w:lineRule="atLeast" w:line="170" w:before="12"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Alex Wilson, Chief Legal &amp; Strategy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c/o AEON Biopharma, Inc.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5 Park Plaza, Suite 1750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Irvine, California 92614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(949) 354-6499 </w:t>
      </w:r>
    </w:p>
    <w:p>
      <w:pPr>
        <w:pStyle w:val="TextBody"/>
        <w:bidi w:val="0"/>
        <w:spacing w:lineRule="atLeast" w:line="170" w:before="12"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Copies to:</w:t>
      </w:r>
      <w:r>
        <w:rPr>
          <w:rFonts w:ascii="Times New Roman;Times;serif" w:hAnsi="Times New Roman;Times;serif"/>
          <w:b/>
          <w:i w:val="false"/>
          <w:caps w:val="false"/>
          <w:smallCaps w:val="false"/>
          <w:color w:val="000000"/>
          <w:spacing w:val="4"/>
          <w:sz w:val="18"/>
        </w:rPr>
        <w:t xml:space="preserve"> </w:t>
      </w:r>
    </w:p>
    <w:tbl>
      <w:tblPr>
        <w:tblW w:w="6990" w:type="dxa"/>
        <w:jc w:val="left"/>
        <w:tblInd w:w="540" w:type="dxa"/>
        <w:tblLayout w:type="fixed"/>
        <w:tblCellMar>
          <w:top w:w="0" w:type="dxa"/>
          <w:left w:w="0" w:type="dxa"/>
          <w:bottom w:w="0" w:type="dxa"/>
          <w:right w:w="0" w:type="dxa"/>
        </w:tblCellMar>
      </w:tblPr>
      <w:tblGrid>
        <w:gridCol w:w="124"/>
        <w:gridCol w:w="2944"/>
        <w:gridCol w:w="109"/>
        <w:gridCol w:w="109"/>
        <w:gridCol w:w="3550"/>
        <w:gridCol w:w="154"/>
      </w:tblGrid>
      <w:tr>
        <w:trPr/>
        <w:tc>
          <w:tcPr>
            <w:tcW w:w="124" w:type="dxa"/>
            <w:tcBorders/>
            <w:vAlign w:val="center"/>
          </w:tcPr>
          <w:p>
            <w:pPr>
              <w:pStyle w:val="TableContents"/>
              <w:bidi w:val="0"/>
              <w:spacing w:before="0" w:after="283"/>
              <w:jc w:val="left"/>
              <w:rPr/>
            </w:pPr>
            <w:r>
              <w:rPr/>
              <w:t>​</w:t>
            </w:r>
          </w:p>
        </w:tc>
        <w:tc>
          <w:tcPr>
            <w:tcW w:w="2944" w:type="dxa"/>
            <w:tcBorders/>
            <w:vAlign w:val="center"/>
          </w:tcPr>
          <w:p>
            <w:pPr>
              <w:pStyle w:val="TableContents"/>
              <w:bidi w:val="0"/>
              <w:spacing w:lineRule="atLeast" w:line="216" w:before="0" w:after="0"/>
              <w:jc w:val="center"/>
              <w:rPr/>
            </w:pPr>
            <w:r>
              <w:rPr>
                <w:spacing w:val="-4"/>
              </w:rPr>
              <w:t>David E. Danovitch</w:t>
            </w:r>
            <w:r>
              <w:rPr/>
              <w:t xml:space="preserve"> </w:t>
              <w:br/>
            </w:r>
            <w:r>
              <w:rPr>
                <w:spacing w:val="-4"/>
              </w:rPr>
              <w:t>Angela Gomes</w:t>
            </w:r>
            <w:r>
              <w:rPr/>
              <w:t xml:space="preserve"> </w:t>
              <w:br/>
            </w:r>
            <w:r>
              <w:rPr>
                <w:spacing w:val="-4"/>
              </w:rPr>
              <w:t>Sullivan &amp; Worcester LLP</w:t>
            </w:r>
            <w:r>
              <w:rPr/>
              <w:t xml:space="preserve"> </w:t>
              <w:br/>
            </w:r>
            <w:r>
              <w:rPr>
                <w:spacing w:val="-4"/>
              </w:rPr>
              <w:t>1251 Avenue of the Americas</w:t>
            </w:r>
            <w:r>
              <w:rPr/>
              <w:t xml:space="preserve"> </w:t>
              <w:br/>
            </w:r>
            <w:r>
              <w:rPr>
                <w:spacing w:val="-4"/>
              </w:rPr>
              <w:t>New York, New York 10020</w:t>
            </w:r>
            <w:r>
              <w:rPr/>
              <w:t xml:space="preserve"> </w:t>
              <w:br/>
            </w:r>
            <w:r>
              <w:rPr>
                <w:spacing w:val="-4"/>
              </w:rPr>
              <w:t>(212) 660-3060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50" w:type="dxa"/>
            <w:tcBorders/>
            <w:vAlign w:val="center"/>
          </w:tcPr>
          <w:p>
            <w:pPr>
              <w:pStyle w:val="TableContents"/>
              <w:bidi w:val="0"/>
              <w:spacing w:lineRule="atLeast" w:line="216" w:before="0" w:after="0"/>
              <w:jc w:val="center"/>
              <w:rPr/>
            </w:pPr>
            <w:r>
              <w:rPr>
                <w:spacing w:val="-4"/>
              </w:rPr>
              <w:t>Jonathan Zimmerman</w:t>
            </w:r>
            <w:r>
              <w:rPr/>
              <w:t xml:space="preserve"> </w:t>
              <w:br/>
            </w:r>
            <w:r>
              <w:rPr>
                <w:spacing w:val="-4"/>
              </w:rPr>
              <w:t>Tyler Vivian</w:t>
            </w:r>
            <w:r>
              <w:rPr/>
              <w:t xml:space="preserve"> </w:t>
              <w:br/>
            </w:r>
            <w:r>
              <w:rPr>
                <w:spacing w:val="-4"/>
              </w:rPr>
              <w:t>Faegre Drinker Biddle &amp; Reath LLP</w:t>
            </w:r>
            <w:r>
              <w:rPr/>
              <w:t xml:space="preserve"> </w:t>
              <w:br/>
            </w:r>
            <w:r>
              <w:rPr>
                <w:spacing w:val="-4"/>
              </w:rPr>
              <w:t>2200 Wells Fargo Center</w:t>
            </w:r>
            <w:r>
              <w:rPr/>
              <w:t xml:space="preserve"> </w:t>
              <w:br/>
            </w:r>
            <w:r>
              <w:rPr>
                <w:spacing w:val="-4"/>
              </w:rPr>
              <w:t>90 South 7th Street</w:t>
            </w:r>
            <w:r>
              <w:rPr/>
              <w:t xml:space="preserve"> </w:t>
              <w:br/>
            </w:r>
            <w:r>
              <w:rPr>
                <w:spacing w:val="-4"/>
              </w:rPr>
              <w:t>Minneapolis, MN 55402</w:t>
            </w:r>
            <w:r>
              <w:rPr/>
              <w:t xml:space="preserve"> </w:t>
              <w:br/>
            </w:r>
            <w:r>
              <w:rPr>
                <w:spacing w:val="-4"/>
              </w:rPr>
              <w:t>(612) 766-7000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1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As soon as practicable after the effective date of this Registration Statement.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16"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6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8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AEON Biopharma, Inc. is filing this Pre-Effective Amendment No. 1 to the Registration Statement on Form S-1 (File No. 333-297327) (“Amendment No. 1”) solely as an exhibits-only filing to file an amended Calculation of Filing Fee Table as Exhibit 107 to reflect the proposed maximum aggregate offering price of the Class A common stock, $0.0001 par value per share, underlying the Five-Year Milestone Warrants at 115% of the assumed public offering price and to pay the incremental registration fee associated therewith. Accordingly, this Amendment No. 1 contains the facing page, this explanatory note, Item 16 of Part II of the Registration Statement, and the signature page. The remainder of the Registration Statement is unchanged and therefore has been omitted.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Item 16.   Exhibits and Financial Statement Schedules.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Exhibits. </w:t>
      </w:r>
    </w:p>
    <w:tbl>
      <w:tblPr>
        <w:tblW w:w="8812" w:type="dxa"/>
        <w:jc w:val="left"/>
        <w:tblInd w:w="1393" w:type="dxa"/>
        <w:tblLayout w:type="fixed"/>
        <w:tblCellMar>
          <w:top w:w="0" w:type="dxa"/>
          <w:left w:w="0" w:type="dxa"/>
          <w:bottom w:w="28" w:type="dxa"/>
          <w:right w:w="0" w:type="dxa"/>
        </w:tblCellMar>
      </w:tblPr>
      <w:tblGrid>
        <w:gridCol w:w="124"/>
        <w:gridCol w:w="878"/>
        <w:gridCol w:w="109"/>
        <w:gridCol w:w="109"/>
        <w:gridCol w:w="743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283"/>
              <w:jc w:val="left"/>
              <w:rPr/>
            </w:pPr>
            <w:hyperlink r:id="rId2">
              <w:r>
                <w:rPr>
                  <w:rStyle w:val="InternetLink"/>
                </w:rPr>
                <w:t xml:space="preserve">Form of Underwriting Agreement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3">
              <w:r>
                <w:rPr>
                  <w:rStyle w:val="InternetLink"/>
                </w:rPr>
                <w:t xml:space="preserve">Business Combination Agreement, dated as of December 12, 2022, by and among Priveterra Acquisition Corp., Priveterra Merger Sub, Inc. and AEON Biopharma, Inc. (incorporated by reference to Exhibit 2.1 to the Form 8-K filed by Priveterra Acquisition Corp. with the SEC on December 13, 2022)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2.1(a)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
              <w:r>
                <w:rPr>
                  <w:rStyle w:val="InternetLink"/>
                </w:rPr>
                <w:t xml:space="preserve">Amendment No. 1 to Business Combination Agreement, dated as of April 27, 2023, by and among Priveterra Acquisition Corp., AEON Biopharma, Inc. and Priveterra Merger Sub, Inc. (incorporated by reference to Exhibit 2.1 to the Form 8-K filed by Priveterra Acquisition Corp. with the SEC on May 1,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
              <w:r>
                <w:rPr>
                  <w:rStyle w:val="InternetLink"/>
                </w:rPr>
                <w:t xml:space="preserve">Third Amended and Restated Certificate of Incorporation of AEON Biopharma, Inc. (incorporated by reference to Exhibit 3.1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3.1.1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6">
              <w:r>
                <w:rPr>
                  <w:rStyle w:val="InternetLink"/>
                </w:rPr>
                <w:t xml:space="preserve">Certificate of Amendment of Third Amended and Restated Certificate of Incorporation of AEON Biopharma, Inc. (incorporated by reference to Exhibit 3.1 to the Form 8-K filed by the Company with the SEC on February 24,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7">
              <w:r>
                <w:rPr>
                  <w:rStyle w:val="InternetLink"/>
                </w:rPr>
                <w:t xml:space="preserve">Amended and Restated Bylaws of AEON Biopharma, Inc. (incorporated by reference to Exhibit 3.2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3.2.1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8">
              <w:r>
                <w:rPr>
                  <w:rStyle w:val="InternetLink"/>
                </w:rPr>
                <w:t xml:space="preserve">Amendment to Amended and Restated Bylaws of AEON Biopharma, Inc. (incorporated by reference to Exhibit 3.1 to Form 8-K filed by the Company with the SEC on December 20,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9">
              <w:r>
                <w:rPr>
                  <w:rStyle w:val="InternetLink"/>
                </w:rPr>
                <w:t xml:space="preserve">Warrant Agreement between Priveterra Acquisition Corp. and Continental Stock Transfer &amp; Trust Company, dated as of February 8, 2021 (incorporated by reference to Exhibit 4.1 to the Form 10-K filed by Priveterra Acquisition Corp. with the SEC on March 28, 2022)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0">
              <w:r>
                <w:rPr>
                  <w:rStyle w:val="InternetLink"/>
                </w:rPr>
                <w:t xml:space="preserve">Specimen Warrant Certificate (incorporated by reference to Exhibit 4.2 to the Form 10-K filed by Priveterra Acquisition Corp. with the SEC on March 29,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1">
              <w:r>
                <w:rPr>
                  <w:rStyle w:val="InternetLink"/>
                </w:rPr>
                <w:t xml:space="preserve">Description of AEON Biopharma Inc.’s Securities Registered Pursuant to Section 12 of the Securities Exchange Act of 1934 (incorporated by reference to Exhibit 4.5 to the Form 10-K filed by the Company with the SEC on August 12,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2">
              <w:r>
                <w:rPr>
                  <w:rStyle w:val="InternetLink"/>
                </w:rPr>
                <w:t xml:space="preserve">Form of Series A Warrant (incorporated by reference to Exhibit 4.1 to the Form 8-K filed by the Company with the SEC on January 7,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3">
              <w:r>
                <w:rPr>
                  <w:rStyle w:val="InternetLink"/>
                </w:rPr>
                <w:t xml:space="preserve">Form of Series B Warrant (incorporated by reference to Exhibit 4.2 to the Form 8-K filed by the Company with the SEC on January 7,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4">
              <w:r>
                <w:rPr>
                  <w:rStyle w:val="InternetLink"/>
                </w:rPr>
                <w:t xml:space="preserve">Form of Pre-Funded Warrant (incorporated by reference to Exhibit 4.1 to the Form 8-K filed by the Company with the SEC on November 13,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5">
              <w:r>
                <w:rPr>
                  <w:rStyle w:val="InternetLink"/>
                </w:rPr>
                <w:t xml:space="preserve">Form of Warrant (incorporated by reference to Exhibit 4.2 to the Form 8-K filed by the Company with the SEC on November 13,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6">
              <w:r>
                <w:rPr>
                  <w:rStyle w:val="InternetLink"/>
                </w:rPr>
                <w:t xml:space="preserve">Form of True-Up Warrant (incorporated by reference to Exhibit 4.3 to the Form 8-K filed by the Company with the SEC on November 13,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7">
              <w:r>
                <w:rPr>
                  <w:rStyle w:val="InternetLink"/>
                </w:rPr>
                <w:t xml:space="preserve">Form of Senior Secured Convertible Note (incorporated by reference to Exhibit 4.1 to the Form 8-K filed by the Company with the SEC on December 15,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8">
              <w:r>
                <w:rPr>
                  <w:rStyle w:val="InternetLink"/>
                </w:rPr>
                <w:t xml:space="preserve">Form of Pre-Funded Warrant (incorporated by reference to Exhibit 4.2 to the Form 8-K filed by the Company with the SEC on December 15,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ind w:left="100" w:right="0" w:hanging="0"/>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19">
              <w:r>
                <w:rPr>
                  <w:rStyle w:val="InternetLink"/>
                </w:rPr>
                <w:t xml:space="preserve">Form of Common Warrant (incorporated by reference to Exhibit 4.3 to the Form 8-K filed by the Company with the SEC on December 15, 2025) </w:t>
              </w:r>
            </w:hyperlink>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II-1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877"/>
        <w:gridCol w:w="109"/>
        <w:gridCol w:w="109"/>
        <w:gridCol w:w="743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283"/>
              <w:jc w:val="left"/>
              <w:rPr/>
            </w:pPr>
            <w:hyperlink r:id="rId20">
              <w:r>
                <w:rPr>
                  <w:rStyle w:val="InternetLink"/>
                </w:rPr>
                <w:t xml:space="preserve">Form of Pre-Funded Warrant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283"/>
              <w:jc w:val="left"/>
              <w:rPr/>
            </w:pPr>
            <w:hyperlink r:id="rId21">
              <w:r>
                <w:rPr>
                  <w:rStyle w:val="InternetLink"/>
                </w:rPr>
                <w:t xml:space="preserve">Form of Two-Year Milestone Warrant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283"/>
              <w:jc w:val="left"/>
              <w:rPr/>
            </w:pPr>
            <w:hyperlink r:id="rId22">
              <w:r>
                <w:rPr>
                  <w:rStyle w:val="InternetLink"/>
                </w:rPr>
                <w:t xml:space="preserve">Form of Five-Year Milestone Warrant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3">
              <w:r>
                <w:rPr>
                  <w:rStyle w:val="InternetLink"/>
                </w:rPr>
                <w:t xml:space="preserve">Form of Warrant Agency Agreement, by and between AEON Biopharma, Inc. and Continental Stock Transfer &amp; Trust Company, as warrant agent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283"/>
              <w:jc w:val="left"/>
              <w:rPr/>
            </w:pPr>
            <w:hyperlink r:id="rId24">
              <w:r>
                <w:rPr>
                  <w:rStyle w:val="InternetLink"/>
                </w:rPr>
                <w:t xml:space="preserve">Opinion of Sullivan &amp; Worcester LLP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5">
              <w:r>
                <w:rPr>
                  <w:rStyle w:val="InternetLink"/>
                </w:rPr>
                <w:t xml:space="preserve">AEON Biopharma, Inc. Amended and Restated 2019 Incentive Award Plan (incorporated by reference to Exhibit 10.1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6">
              <w:r>
                <w:rPr>
                  <w:rStyle w:val="InternetLink"/>
                </w:rPr>
                <w:t xml:space="preserve">Form of Stock Option Agreement under AEON Biopharma, Inc. Amended and Restated 2019 Incentive Award Plan (incorporated by reference to Exhibit 10.2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7">
              <w:r>
                <w:rPr>
                  <w:rStyle w:val="InternetLink"/>
                </w:rPr>
                <w:t xml:space="preserve">Form of Restricted Stock Unit Agreement under AEON Biopharma, Inc. Amended and Restated 2019 Incentive Award Plan (incorporated by reference to Exhibit 10.3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8">
              <w:r>
                <w:rPr>
                  <w:rStyle w:val="InternetLink"/>
                </w:rPr>
                <w:t xml:space="preserve">Form of Restricted Stock Unit Agreement under AEON Biopharma, Inc. Amended and Restated 2019 Incentive Award Plan (409A Deferred Compensation) (incorporated by reference to Exhibit 10.4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9">
              <w:r>
                <w:rPr>
                  <w:rStyle w:val="InternetLink"/>
                </w:rPr>
                <w:t xml:space="preserve">AEON Biopharma, Inc. 2023 Employee Stock Purchase Plan (incorporated by reference to Exhibit 10.9 to the Form S-1/A filed by the Company with the SEC on April 2,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0">
              <w:r>
                <w:rPr>
                  <w:rStyle w:val="InternetLink"/>
                </w:rPr>
                <w:t xml:space="preserve">AEON Biopharma, Inc. Non-Employee Director Compensation Program (incorporated by reference to Exhibit 10.6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1">
              <w:r>
                <w:rPr>
                  <w:rStyle w:val="InternetLink"/>
                </w:rPr>
                <w:t xml:space="preserve">Amended and Restated Employment Agreement, by and between AEON Biopharma, Inc. and Marc Forth (incorporated by reference to Exhibit 10.11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2">
              <w:r>
                <w:rPr>
                  <w:rStyle w:val="InternetLink"/>
                </w:rPr>
                <w:t xml:space="preserve">Employment Agreement, by and between AEON Biopharma, Inc. and Chad Oh (incorporated by reference to Exhibit 10.12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3">
              <w:r>
                <w:rPr>
                  <w:rStyle w:val="InternetLink"/>
                </w:rPr>
                <w:t xml:space="preserve">Employment Agreement, by and between AEON Biopharma, Inc. and Alex Wilson (incorporated by reference to Exhibit 10.13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4">
              <w:r>
                <w:rPr>
                  <w:rStyle w:val="InternetLink"/>
                </w:rPr>
                <w:t xml:space="preserve">Consulting Agreement, by and between AEON Biopharma, Inc. and Eric Carter, M.D., dated January 30, 2020, and amended on January 30, 2020 and September 30, 2020 (incorporated by reference to Exhibit 10.11 to the Annual Report on Form 10-K filed by the Company with the SEC on March 29,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5">
              <w:r>
                <w:rPr>
                  <w:rStyle w:val="InternetLink"/>
                </w:rPr>
                <w:t xml:space="preserve">Amended and Restated Registration Rights Agreement, dated as of July 21, 2023, by and between AEON Biopharma, Inc. and the stockholders party thereto (incorporated by reference to Exhibit 10.20 to the Form 8-K filed by the Company with the SEC on July 27,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6">
              <w:r>
                <w:rPr>
                  <w:rStyle w:val="InternetLink"/>
                </w:rPr>
                <w:t xml:space="preserve">Termination Agreement, dated March 18, 2024, by and between AEON Biopharma, Inc. and ACM ARRT J LLC (incorporated by reference to Exhibit 10.5 to the Form 8-K filed by the Company with the SEC on March 19,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7">
              <w:r>
                <w:rPr>
                  <w:rStyle w:val="InternetLink"/>
                </w:rPr>
                <w:t xml:space="preserve">Termination Agreement, dated March 18, 2024, by and between AEON Biopharma, Inc. and Polar Multi-Strategy Fund (incorporated by reference to Exhibit 10.6 to the Form 8-K filed by the Company with the SEC on March 19,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8">
              <w:r>
                <w:rPr>
                  <w:rStyle w:val="InternetLink"/>
                </w:rPr>
                <w:t xml:space="preserve">Subscription Agreement, dated March 19, 2024, by and between AEON Biopharma, Inc., Daewoong Pharmaceutical Co., LTD. and AEON Biopharma Sub, Inc. (incorporated by reference to Exhibit 10.1 to the Form 8-K filed by the Company with the SEC on March 19,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9">
              <w:r>
                <w:rPr>
                  <w:rStyle w:val="InternetLink"/>
                </w:rPr>
                <w:t xml:space="preserve">Security Agreement, dated March 19, 2024, by and among AEON Biopharma, Inc., Daewoong Pharmaceutical Co., LTD. and AEON Biopharma Sub, Inc. (incorporated by reference to Exhibit 10.2 to the Form 8-K filed by the Company with the SEC on March 19, 2024) </w:t>
              </w:r>
            </w:hyperlink>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II-2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878"/>
        <w:gridCol w:w="109"/>
        <w:gridCol w:w="109"/>
        <w:gridCol w:w="743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0">
              <w:r>
                <w:rPr>
                  <w:rStyle w:val="InternetLink"/>
                </w:rPr>
                <w:t xml:space="preserve">Guaranty, dated March 19, 2024, by and between Daewoong Pharmaceutical Co., LTD. and AEON Biopharma Sub, Inc. (incorporated by reference to Exhibit 10.3 to the Form 8-K filed by the Company with the SEC on March 19,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1">
              <w:r>
                <w:rPr>
                  <w:rStyle w:val="InternetLink"/>
                </w:rPr>
                <w:t xml:space="preserve">License and Supply Agreement, dated as of December 20, 2019, by and between Daewoong Pharmaceutical Co., LTD. and AEON Biopharma, Inc. (incorporated by reference to Exhibit 10.15 to the Form S-4 filed by Priveterra Acquisition Corp. with the SEC on December 27, 2022)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2">
              <w:r>
                <w:rPr>
                  <w:rStyle w:val="InternetLink"/>
                </w:rPr>
                <w:t xml:space="preserve">Amendment to License and Supply Agreement, dated as of July 29, 2022, by and between Daewoong Pharmaceutical Co., LTD. and AEON Biopharma, Inc. (incorporated by reference to Exhibit 10.15(a) to the Form S-4 filed by Priveterra Acquisition Corp. with the SEC on December 27, 2022)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3">
              <w:r>
                <w:rPr>
                  <w:rStyle w:val="InternetLink"/>
                </w:rPr>
                <w:t xml:space="preserve">Second Amendment to the License and Supply Agreement, dated as of January 8, 2023, by and between AEON Biopharma, Inc. and Daewoong Pharmaceutical Co., Ltd. (incorporated by reference to Exhibit 10.17(b) to the Form S-1/A filed by the Company with the SEC on April 2,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4">
              <w:r>
                <w:rPr>
                  <w:rStyle w:val="InternetLink"/>
                </w:rPr>
                <w:t xml:space="preserve">Third Amendment to License and Supply Agreement, dated April 24, 2023, by and between Daewoong Pharmaceutical Co. (incorporated by reference to Exhibit 10.17(c) to the Form S-1/A filed by the Company with the SEC on April 2,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5">
              <w:r>
                <w:rPr>
                  <w:rStyle w:val="InternetLink"/>
                </w:rPr>
                <w:t xml:space="preserve">Fourth Amendment to License and Supply Agreement, dated March 19, 2024, by and between AEON Biopharma, Inc. and Daewoong Pharmaceutical Co., LTD. (incorporated by reference to Exhibit 10.4 to the Form 8-K filed by the Company with the SEC on March 19,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6">
              <w:r>
                <w:rPr>
                  <w:rStyle w:val="InternetLink"/>
                </w:rPr>
                <w:t xml:space="preserve">Settlement and License Agreement dated as of June 21, 2021, by and between AEON Biopharma, Inc. and Medytox, Inc. (incorporated by reference to Exhibit 10.16 to the Form S-4 filed by Priveterra Acquisition Corp. with the SEC on December 27, 2022)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10.15(a)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7">
              <w:r>
                <w:rPr>
                  <w:rStyle w:val="InternetLink"/>
                </w:rPr>
                <w:t xml:space="preserve">Amendment to Settlement and License Agreement, dated as of May 5, 2022, by and between AEON Biopharma, Inc. and Medytox, Inc. (incorporated by reference to Exhibit 10.16(a) to the Form S-4 filed by Priveterra Acquisition Corp. with the SEC on December 27, 2022)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8">
              <w:r>
                <w:rPr>
                  <w:rStyle w:val="InternetLink"/>
                </w:rPr>
                <w:t xml:space="preserve">Sponsor Support Agreement, dated as of December 12, 2022, by and among Priveterra Sponsor, LLC, Priveterra Acquisition Corp., and the other parties thereto (incorporated by reference to Exhibit 10.18 to the Form S-1/A filed by the Company with the SEC on November 24,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10.16(a)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49">
              <w:r>
                <w:rPr>
                  <w:rStyle w:val="InternetLink"/>
                </w:rPr>
                <w:t xml:space="preserve">Amendment No. 1 to Sponsor Support Agreement, dated as of April 27, 2023, by and among Priveterra Sponsor, LLC, Priveterra Acquisition Corp., and the other parties thereto (incorporated by reference to Exhibit 10.17 to the Form S-4/A filed by Priveterra Acquisition Corp. with the SEC on May 1,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0">
              <w:r>
                <w:rPr>
                  <w:rStyle w:val="InternetLink"/>
                </w:rPr>
                <w:t xml:space="preserve">Sales Agreement, dated August 14, 2024, by and between Registrant and Leerink Partners LLC (incorporated by reference to Exhibit 1.2 to the Form S-3 filed by the Company with the SEC on August 15, 2024)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1">
              <w:r>
                <w:rPr>
                  <w:rStyle w:val="InternetLink"/>
                </w:rPr>
                <w:t xml:space="preserve">Underwriting Agreement, dated January 6, 2025, by and between AEON Biopharma, Inc. and Aegis Capital Corp (incorporated by reference to Exhibit 10.1 to the Form 8-K filed by the Company with the SEC on January 7,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2">
              <w:r>
                <w:rPr>
                  <w:rStyle w:val="InternetLink"/>
                </w:rPr>
                <w:t xml:space="preserve">Employment Agreement, by and between AEON Biopharma, Inc. and Robert Bancroft (incorporated by reference to Exhibit 10.1 to the Form 8-K filed by the Company with the SEC on April 21,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3">
              <w:r>
                <w:rPr>
                  <w:rStyle w:val="InternetLink"/>
                </w:rPr>
                <w:t xml:space="preserve">AEON Biopharma, Inc. 2025 Employment Inducement Incentive Award Plan and form of award agreements thereto (incorporated by reference to Exhibit 99.1 to the Form S-8 filed by the Company with the SEC on May 14,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4">
              <w:r>
                <w:rPr>
                  <w:rStyle w:val="InternetLink"/>
                </w:rPr>
                <w:t xml:space="preserve">Securities Purchase Agreement, dated November 12, 2025, by and among AEON Biopharma, Inc. and the several investors signatory thereto (incorporated by reference to Exhibit 10.1 to the Form 8-K filed by the Company with the SEC on November 13, 2025) </w:t>
              </w:r>
            </w:hyperlink>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II-3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886"/>
        <w:gridCol w:w="109"/>
        <w:gridCol w:w="109"/>
        <w:gridCol w:w="742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55">
              <w:r>
                <w:rPr>
                  <w:rStyle w:val="InternetLink"/>
                </w:rPr>
                <w:t xml:space="preserve">Form of Registration Rights Agreement to be entered by and among AEON Biopharma, Inc. and the several investors signatory thereto (incorporated by reference to Exhibit 10.2 to the Form 8-K filed by the Company with the SEC on November 13,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56">
              <w:r>
                <w:rPr>
                  <w:rStyle w:val="InternetLink"/>
                </w:rPr>
                <w:t xml:space="preserve">Odeon Settlement Agreement October 2025 (incorporated by reference to Exhibit 10.1 to the Form 10-Q filed by the Company with the SEC on November 14,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57">
              <w:r>
                <w:rPr>
                  <w:rStyle w:val="InternetLink"/>
                </w:rPr>
                <w:t xml:space="preserve">Form of Odeon Warrants October 2025 (incorporated by reference to Exhibit 10.2 to the Form 10-Q filed by the Company with the SEC on November 14,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58">
              <w:r>
                <w:rPr>
                  <w:rStyle w:val="InternetLink"/>
                </w:rPr>
                <w:t xml:space="preserve">Exchange Agreement, dated as of December 15, 2025, by and among AEON Biopharma, Inc., AEON Biopharma Sub, Inc., and Daewoong Pharmaceutical Co. Ltd (incorporated by reference to Exhibit 10.1 to the Form 8-K filed by the Company with the SEC on December 15, 2025)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59">
              <w:r>
                <w:rPr>
                  <w:rStyle w:val="InternetLink"/>
                </w:rPr>
                <w:t xml:space="preserve">AEON Biopharma, Inc. Amended and Restated 2023 Incentive Award Plan (incorporated by reference to Exhibit 10.1 to the Form 8-K filed by the Company with the SEC on January 21, 2026)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10.26(a)+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60">
              <w:r>
                <w:rPr>
                  <w:rStyle w:val="InternetLink"/>
                </w:rPr>
                <w:t xml:space="preserve">Form of Stock Option Agreement under AEON Biopharma, Inc. 2023 Incentive Award Plan (incorporated by reference to Exhibit 10.6 to the Form S-4/A filed by Priveterra Acquisition Corp. with the SEC on May 1,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both"/>
              <w:rPr>
                <w:spacing w:val="4"/>
              </w:rPr>
            </w:pPr>
            <w:r>
              <w:rPr>
                <w:spacing w:val="4"/>
              </w:rPr>
              <w:t xml:space="preserve">10.26(b)+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61">
              <w:r>
                <w:rPr>
                  <w:rStyle w:val="InternetLink"/>
                </w:rPr>
                <w:t xml:space="preserve">Form of Restricted Stock Unit Agreement under AEON Biopharma, Inc. 2023 Incentive Award Plan (incorporated by reference to Exhibit 10.7 to the Form S-4/A filed by Priveterra Acquisition Corp. with the SEC on May 1,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62">
              <w:r>
                <w:rPr>
                  <w:rStyle w:val="InternetLink"/>
                </w:rPr>
                <w:t xml:space="preserve">Fifth Amendment to the License and Supply Agreement, dated as of January 21, 2026, by and between the Company and Daewoong Pharmaceutical Co., Ltd (incorporated by reference to Exhibit 10.2 to the Form 8-K filed by the Company with the SEC on January 21, 2026)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63">
              <w:r>
                <w:rPr>
                  <w:rStyle w:val="InternetLink"/>
                </w:rPr>
                <w:t xml:space="preserve">Employment Agreement, by and between AEON Biopharma, Inc. and John Bencich (incorporated by reference to Exhibit 10.1 to the Form 8-K filed by the Company with the SEC on March 9, 2026)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64">
              <w:r>
                <w:rPr>
                  <w:rStyle w:val="InternetLink"/>
                </w:rPr>
                <w:t xml:space="preserve">Employment Agreement, by and between AEON Biopharma, Inc. and Jennifer Sy (incorporated by reference to Exhibit 10.2 to the Form 8-K filed by the Company with the SEC on March 9, 2026)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65">
              <w:r>
                <w:rPr>
                  <w:rStyle w:val="InternetLink"/>
                </w:rPr>
                <w:t xml:space="preserve">Form of Indemnification Agreement (incorporated by reference to Exhibit 10.9 to the Form S-4 on May 1, 2023)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pPr>
            <w:hyperlink r:id="rId66">
              <w:r>
                <w:rPr>
                  <w:rStyle w:val="InternetLink"/>
                </w:rPr>
                <w:t xml:space="preserve">Form of Warrant Solicitation Agreement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pPr>
            <w:hyperlink r:id="rId67">
              <w:r>
                <w:rPr>
                  <w:rStyle w:val="InternetLink"/>
                </w:rPr>
                <w:t xml:space="preserve">Consent of KPMG LLP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pPr>
            <w:hyperlink r:id="rId68">
              <w:r>
                <w:rPr>
                  <w:rStyle w:val="InternetLink"/>
                </w:rPr>
                <w:t xml:space="preserve">Consent of Sullivan &amp; Worcester LLP (included in Exhibit 5.1)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"https://www.sec.gov/Archives/edgar/data/1837607/000110465926081860/tm2615250-3_s1.htm" \l "tPOA"</w:instrText>
            </w:r>
            <w:r>
              <w:rPr>
                <w:rStyle w:val="InternetLink"/>
              </w:rPr>
              <w:fldChar w:fldCharType="separate"/>
            </w:r>
            <w:r>
              <w:rPr>
                <w:rStyle w:val="InternetLink"/>
              </w:rPr>
              <w:t>Power of Attorney (included on signature page)</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pPr>
            <w:hyperlink w:anchor="tm2615250d6_ex-filingfees.htm">
              <w:r>
                <w:rPr>
                  <w:rStyle w:val="InternetLink"/>
                </w:rPr>
                <w:t>Filing Fee Table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5080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contract or compensatory plan, contract or arrangement. </w:t>
      </w:r>
      <w:r>
        <mc:AlternateContent>
          <mc:Choice Requires="wps">
            <w:drawing>
              <wp:anchor behindDoc="0" distT="508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Financial Statement Schedules.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Schedules not listed above have been omitted because the information required to be set forth therein is not applicable or is shown in the financial statements or notes thereto. </w:t>
      </w:r>
    </w:p>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II-4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2" w:name="tSIG"/>
      <w:bookmarkEnd w:id="2"/>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has duly caused this Registration Statement to be signed on its behalf by the undersigned, thereunto duly authorized in the City of Irvine, State of California on the 9th day of July, 2026.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AEON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/s/ Robert Bancroft </w:t>
      </w:r>
      <w:r>
        <mc:AlternateContent>
          <mc:Choice Requires="wps">
            <w:drawing>
              <wp:anchor behindDoc="0" distT="215900" distB="0" distL="2794000" distR="0" simplePos="0" locked="0" layoutInCell="1" allowOverlap="1" relativeHeight="5">
                <wp:simplePos x="0" y="0"/>
                <wp:positionH relativeFrom="column">
                  <wp:align>left</wp:align>
                </wp:positionH>
                <wp:positionV relativeFrom="line">
                  <wp:align>top</wp:align>
                </wp:positionV>
                <wp:extent cx="2540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Name: Robert Bancroft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and Chief Executive Officer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437" w:type="dxa"/>
        <w:jc w:val="left"/>
        <w:tblInd w:w="1393" w:type="dxa"/>
        <w:tblLayout w:type="fixed"/>
        <w:tblCellMar>
          <w:top w:w="0" w:type="dxa"/>
          <w:left w:w="0" w:type="dxa"/>
          <w:bottom w:w="28" w:type="dxa"/>
          <w:right w:w="0" w:type="dxa"/>
        </w:tblCellMar>
      </w:tblPr>
      <w:tblGrid>
        <w:gridCol w:w="124"/>
        <w:gridCol w:w="2086"/>
        <w:gridCol w:w="109"/>
        <w:gridCol w:w="109"/>
        <w:gridCol w:w="4273"/>
        <w:gridCol w:w="109"/>
        <w:gridCol w:w="109"/>
        <w:gridCol w:w="136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86" w:type="dxa"/>
            <w:tcBorders>
              <w:bottom w:val="single" w:sz="2" w:space="0" w:color="000000"/>
            </w:tcBorders>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73"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4" w:type="dxa"/>
            <w:tcBorders>
              <w:bottom w:val="single" w:sz="2" w:space="0" w:color="000000"/>
            </w:tcBorders>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/s/ Robert Bancroft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Bancroft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pPr>
            <w:r>
              <w:rPr>
                <w:spacing w:val="4"/>
              </w:rPr>
              <w:t>President, Chief Executive Officer</w:t>
            </w:r>
            <w:r>
              <w:rPr/>
              <w:t xml:space="preserve"> </w:t>
              <w:br/>
            </w:r>
            <w:r>
              <w:rPr>
                <w:spacing w:val="4"/>
              </w:rPr>
              <w:t xml:space="preserve">(Principal Executive Officer)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Jennifer Sy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pPr>
            <w:r>
              <w:rPr>
                <w:spacing w:val="4"/>
              </w:rPr>
              <w:t>Chief Accounting Officer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John Bencich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Jost Fischer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Palmisano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Shelley Thunen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Eric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Seongsoo Park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Marc Forth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9,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/s/ Robert Bancroft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Attorney-in-fact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 w:name="tm2615250d6_ex-filingfees.htm"/>
      <w:bookmarkStart w:id="4" w:name="kstm2615250d6_exfilingfees"/>
      <w:bookmarkStart w:id="5" w:name="tm2615250d6_ex-filingfees.htm"/>
      <w:bookmarkStart w:id="6" w:name="kstm2615250d6_exfilingfees"/>
      <w:bookmarkEnd w:id="5"/>
      <w:bookmarkEnd w:id="6"/>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AEON Biopharma,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5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5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underlying Five-Year Milestone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$ 2,156,250.00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$ 297.78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$ 14,375,000.00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$ 1,985.19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underlying 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Two-Year Milestone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underlying Two-Year Milestone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$ 14,375,000.00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$ 1,985.19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Five-Year Milestone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underlying Five-Year Milestone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$ 14,375,000.00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$ 1,985.19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5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7" w:name="MaxAggtOfferingPrice"/>
            <w:bookmarkEnd w:id="7"/>
            <w:r>
              <w:rPr/>
              <w:t xml:space="preserve">$ 45,281,250.00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8" w:name="TotalFeeAmt"/>
            <w:bookmarkEnd w:id="8"/>
            <w:r>
              <w:rPr/>
              <w:t xml:space="preserve">$ 6,253.35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9" w:name="TotalPreviouslyPaidAmt"/>
            <w:bookmarkEnd w:id="9"/>
            <w:r>
              <w:rPr/>
              <w:t xml:space="preserve">$ 5,955.57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0" w:name="TotalOffsetAmt"/>
            <w:bookmarkEnd w:id="1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1" w:name="NetFeeAmt"/>
            <w:bookmarkEnd w:id="11"/>
            <w:r>
              <w:rPr/>
              <w:t xml:space="preserve">$ 297.78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Note 1.a. In accordance with Rule 416(a), the Registrant is also registering an indeterminate number of additional shares of Common Stock that shall be issuable pursuant to Rule 416 to prevent dilution resulting from share splits, share dividends or similar transactions. Note 1.b. Estimated solely for purposes of calculating the amount of the registration fee pursuant to Rule 457(o) under the Securities Act of 1933. Includes the offering price of the Class A Common Stock, par value $0.0001, of the Registrant (the "Common Stock") that the representative of the underwriters has the option to purchase to cover over-allotments, if any. Note 1.c Estimated solely for the purpose of calculating the registration fee pursuant to Rule 457(o) under the Securities Act, the proposed maximum aggregate offering price of the five-year milestone warrants is equal to $16,531,250 (which is 115% of $14,375,000).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See Offering Notes 1.a. and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See Offering Notes 1.a. and 1.b. In accordance with Rule 457(g) under the Securities Act, because the Common Stock underlying the warrants are registered hereby, no separate registration fee is required with respect to the warrants registered hereby.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See Offering Note 3.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See Offering Note 3.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4" w:type="dxa"/>
            <w:gridSpan w:val="2"/>
            <w:tcBorders/>
            <w:vAlign w:val="center"/>
          </w:tcPr>
          <w:p>
            <w:pPr>
              <w:pStyle w:val="TableContents"/>
              <w:bidi w:val="0"/>
              <w:spacing w:before="0" w:after="283"/>
              <w:jc w:val="left"/>
              <w:rPr/>
            </w:pPr>
            <w:r>
              <w:rPr/>
              <w:t xml:space="preserve">See Offering Notes 1.a. and 1.b. Estimated solely for the purpose of calculating the registration fee pursuant to Rule 457(o) under the Securities Act, the proposed maximum aggregate offering price of the two-year milestone warrants is equal to $14,375,000 (which is 100% of $14,375,000).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4" w:type="dxa"/>
            <w:gridSpan w:val="2"/>
            <w:tcBorders/>
            <w:vAlign w:val="center"/>
          </w:tcPr>
          <w:p>
            <w:pPr>
              <w:pStyle w:val="TableContents"/>
              <w:bidi w:val="0"/>
              <w:spacing w:before="0" w:after="283"/>
              <w:jc w:val="left"/>
              <w:rPr/>
            </w:pPr>
            <w:r>
              <w:rPr/>
              <w:t xml:space="preserve">See Offering Note 3.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10004" w:type="dxa"/>
            <w:gridSpan w:val="2"/>
            <w:tcBorders/>
            <w:vAlign w:val="center"/>
          </w:tcPr>
          <w:p>
            <w:pPr>
              <w:pStyle w:val="TableContents"/>
              <w:bidi w:val="0"/>
              <w:spacing w:before="0" w:after="283"/>
              <w:jc w:val="left"/>
              <w:rPr/>
            </w:pPr>
            <w:r>
              <w:rPr/>
              <w:t xml:space="preserve">See Offering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7607/000110465926081860/tm2615250d4_ex1-1.htm" TargetMode="External"/><Relationship Id="rId3" Type="http://schemas.openxmlformats.org/officeDocument/2006/relationships/hyperlink" Target="https://www.sec.gov/Archives/edgar/data/1837607/000110465922126489/tm2232428d1_ex2-1.htm" TargetMode="External"/><Relationship Id="rId4" Type="http://schemas.openxmlformats.org/officeDocument/2006/relationships/hyperlink" Target="https://www.sec.gov/Archives/edgar/data/1837607/000110465923053387/tm2314221d1_ex2-1.htm" TargetMode="External"/><Relationship Id="rId5" Type="http://schemas.openxmlformats.org/officeDocument/2006/relationships/hyperlink" Target="https://www.sec.gov/Archives/edgar/data/1837607/000110465923084851/tm2314948d1_ex3-1.htm" TargetMode="External"/><Relationship Id="rId6" Type="http://schemas.openxmlformats.org/officeDocument/2006/relationships/hyperlink" Target="https://www.sec.gov/Archives/edgar/data/1837607/000183760725000013/aeon-20250224xex3d1.htm" TargetMode="External"/><Relationship Id="rId7" Type="http://schemas.openxmlformats.org/officeDocument/2006/relationships/hyperlink" Target="https://www.sec.gov/Archives/edgar/data/1837607/000110465924130805/tm2431750d1_ex3-1.htm" TargetMode="External"/><Relationship Id="rId8" Type="http://schemas.openxmlformats.org/officeDocument/2006/relationships/hyperlink" Target="https://www.sec.gov/Archives/edgar/data/1837607/000110465924130805/tm2431750d1_ex3-1.htm" TargetMode="External"/><Relationship Id="rId9" Type="http://schemas.openxmlformats.org/officeDocument/2006/relationships/hyperlink" Target="https://www.sec.gov/Archives/edgar/data/1837607/000110465921021987/tm2039147d12_ex4-1.htm" TargetMode="External"/><Relationship Id="rId10" Type="http://schemas.openxmlformats.org/officeDocument/2006/relationships/hyperlink" Target="https://www.sec.gov/Archives/edgar/data/1837607/000110465921021987/tm2039147d12_ex4-1.htm" TargetMode="External"/><Relationship Id="rId11" Type="http://schemas.openxmlformats.org/officeDocument/2006/relationships/hyperlink" Target="https://www.sec.gov/Archives/edgar/data/1837607/000110465924088355/tm2421402d1_ex4-5.htm" TargetMode="External"/><Relationship Id="rId12" Type="http://schemas.openxmlformats.org/officeDocument/2006/relationships/hyperlink" Target="https://www.sec.gov/Archives/edgar/data/1837607/000110465925001665/tm2432042d4_ex4-1.htm" TargetMode="External"/><Relationship Id="rId13" Type="http://schemas.openxmlformats.org/officeDocument/2006/relationships/hyperlink" Target="https://www.sec.gov/Archives/edgar/data/1837607/000110465925001665/tm2432042d4_ex4-2.htm" TargetMode="External"/><Relationship Id="rId14" Type="http://schemas.openxmlformats.org/officeDocument/2006/relationships/hyperlink" Target="https://www.sec.gov/Archives/edgar/data/1837607/000183760725000072/aeon-20251112xex4d1.htm" TargetMode="External"/><Relationship Id="rId15" Type="http://schemas.openxmlformats.org/officeDocument/2006/relationships/hyperlink" Target="https://www.sec.gov/Archives/edgar/data/1837607/000183760725000072/aeon-20251112xex4d2.htm" TargetMode="External"/><Relationship Id="rId16" Type="http://schemas.openxmlformats.org/officeDocument/2006/relationships/hyperlink" Target="https://www.sec.gov/Archives/edgar/data/1837607/000183760725000072/aeon-20251112xex4d3.htm" TargetMode="External"/><Relationship Id="rId17" Type="http://schemas.openxmlformats.org/officeDocument/2006/relationships/hyperlink" Target="https://www.sec.gov/Archives/edgar/data/1837607/000183760725000092/aeon-20251215xex4d1.htm" TargetMode="External"/><Relationship Id="rId18" Type="http://schemas.openxmlformats.org/officeDocument/2006/relationships/hyperlink" Target="https://www.sec.gov/Archives/edgar/data/1837607/000183760725000092/aeon-20251215xex4d2.htm" TargetMode="External"/><Relationship Id="rId19" Type="http://schemas.openxmlformats.org/officeDocument/2006/relationships/hyperlink" Target="https://www.sec.gov/Archives/edgar/data/1837607/000183760725000092/aeon-20251215xex4d3.htm" TargetMode="External"/><Relationship Id="rId20" Type="http://schemas.openxmlformats.org/officeDocument/2006/relationships/hyperlink" Target="https://www.sec.gov/Archives/edgar/data/1837607/000110465926081860/tm2615250d4_ex4-12.htm" TargetMode="External"/><Relationship Id="rId21" Type="http://schemas.openxmlformats.org/officeDocument/2006/relationships/hyperlink" Target="https://www.sec.gov/Archives/edgar/data/1837607/000110465926081860/tm2615250d4_ex4-13.htm" TargetMode="External"/><Relationship Id="rId22" Type="http://schemas.openxmlformats.org/officeDocument/2006/relationships/hyperlink" Target="https://www.sec.gov/Archives/edgar/data/1837607/000110465926081860/tm2615250d4_ex4-14.htm" TargetMode="External"/><Relationship Id="rId23" Type="http://schemas.openxmlformats.org/officeDocument/2006/relationships/hyperlink" Target="https://www.sec.gov/Archives/edgar/data/1837607/000110465926081860/tm2615250d4_ex4-15.htm" TargetMode="External"/><Relationship Id="rId24" Type="http://schemas.openxmlformats.org/officeDocument/2006/relationships/hyperlink" Target="https://www.sec.gov/Archives/edgar/data/1837607/000110465926081860/tm2615250d4_ex5-1.htm" TargetMode="External"/><Relationship Id="rId25" Type="http://schemas.openxmlformats.org/officeDocument/2006/relationships/hyperlink" Target="https://www.sec.gov/Archives/edgar/data/1837607/000110465923084851/tm2314948d1_ex10-1.htm" TargetMode="External"/><Relationship Id="rId26" Type="http://schemas.openxmlformats.org/officeDocument/2006/relationships/hyperlink" Target="https://www.sec.gov/Archives/edgar/data/1837607/000110465923084851/tm2314948d1_ex10-2.htm" TargetMode="External"/><Relationship Id="rId27" Type="http://schemas.openxmlformats.org/officeDocument/2006/relationships/hyperlink" Target="https://www.sec.gov/Archives/edgar/data/1837607/000110465923084851/tm2314948d1_ex10-3.htm" TargetMode="External"/><Relationship Id="rId28" Type="http://schemas.openxmlformats.org/officeDocument/2006/relationships/hyperlink" Target="https://www.sec.gov/Archives/edgar/data/1837607/000110465923084851/tm2314948d1_ex10-4.htm" TargetMode="External"/><Relationship Id="rId29" Type="http://schemas.openxmlformats.org/officeDocument/2006/relationships/hyperlink" Target="https://www.sec.gov/Archives/edgar/data/1837607/000110465924042136/aeon-20230930xex10d9.htm" TargetMode="External"/><Relationship Id="rId30" Type="http://schemas.openxmlformats.org/officeDocument/2006/relationships/hyperlink" Target="https://www.sec.gov/Archives/edgar/data/1837607/000110465923084851/tm2314948d1_ex10-6.htm" TargetMode="External"/><Relationship Id="rId31" Type="http://schemas.openxmlformats.org/officeDocument/2006/relationships/hyperlink" Target="https://www.sec.gov/Archives/edgar/data/1837607/000110465923084851/tm2314948d1_ex10-11.htm" TargetMode="External"/><Relationship Id="rId32" Type="http://schemas.openxmlformats.org/officeDocument/2006/relationships/hyperlink" Target="https://www.sec.gov/Archives/edgar/data/1837607/000110465923084851/tm2314948d1_ex10-12.htm" TargetMode="External"/><Relationship Id="rId33" Type="http://schemas.openxmlformats.org/officeDocument/2006/relationships/hyperlink" Target="https://www.sec.gov/Archives/edgar/data/1837607/000110465923084851/tm2314948d1_ex10-13.htm" TargetMode="External"/><Relationship Id="rId34" Type="http://schemas.openxmlformats.org/officeDocument/2006/relationships/hyperlink" Target="https://www.sec.gov/Archives/edgar/data/1837607/000183760724000015/aeon-20231231xex10d11.htm" TargetMode="External"/><Relationship Id="rId35" Type="http://schemas.openxmlformats.org/officeDocument/2006/relationships/hyperlink" Target="https://www.sec.gov/Archives/edgar/data/1837607/000110465923084851/tm2314948d1_ex10-20.htm" TargetMode="External"/><Relationship Id="rId36" Type="http://schemas.openxmlformats.org/officeDocument/2006/relationships/hyperlink" Target="https://www.sec.gov/Archives/edgar/data/1837607/000183760724000006/aeon-20240318xex10d5.htm" TargetMode="External"/><Relationship Id="rId37" Type="http://schemas.openxmlformats.org/officeDocument/2006/relationships/hyperlink" Target="https://www.sec.gov/Archives/edgar/data/1837607/000183760724000006/aeon-20240318xex10d6.htm" TargetMode="External"/><Relationship Id="rId38" Type="http://schemas.openxmlformats.org/officeDocument/2006/relationships/hyperlink" Target="https://www.sec.gov/Archives/edgar/data/1837607/000183760724000006/aeon-20240318xex10d1.htm" TargetMode="External"/><Relationship Id="rId39" Type="http://schemas.openxmlformats.org/officeDocument/2006/relationships/hyperlink" Target="https://www.sec.gov/Archives/edgar/data/1837607/000183760724000006/aeon-20240318xex10d2.htm" TargetMode="External"/><Relationship Id="rId40" Type="http://schemas.openxmlformats.org/officeDocument/2006/relationships/hyperlink" Target="https://www.sec.gov/Archives/edgar/data/1837607/000183760724000006/aeon-20240318xex10d3.htm" TargetMode="External"/><Relationship Id="rId41" Type="http://schemas.openxmlformats.org/officeDocument/2006/relationships/hyperlink" Target="https://www.sec.gov/Archives/edgar/data/1837607/000110465922129955/pmgmu-20220930xex10d15.htm" TargetMode="External"/><Relationship Id="rId42" Type="http://schemas.openxmlformats.org/officeDocument/2006/relationships/hyperlink" Target="https://www.sec.gov/Archives/edgar/data/1837607/000110465922129955/pmgmu-20220930xex10d15a.htm" TargetMode="External"/><Relationship Id="rId43" Type="http://schemas.openxmlformats.org/officeDocument/2006/relationships/hyperlink" Target="https://www.sec.gov/Archives/edgar/data/1837607/000110465924042136/aeon-20230930xex10d17b.htm" TargetMode="External"/><Relationship Id="rId44" Type="http://schemas.openxmlformats.org/officeDocument/2006/relationships/hyperlink" Target="https://www.sec.gov/Archives/edgar/data/1837607/000110465924042136/aeon-20230930xex10d17c.htm" TargetMode="External"/><Relationship Id="rId45" Type="http://schemas.openxmlformats.org/officeDocument/2006/relationships/hyperlink" Target="https://www.sec.gov/Archives/edgar/data/1837607/000183760724000006/aeon-20240318xex10d4.htm" TargetMode="External"/><Relationship Id="rId46" Type="http://schemas.openxmlformats.org/officeDocument/2006/relationships/hyperlink" Target="https://www.sec.gov/Archives/edgar/data/1837607/000110465922129955/pmgmu-20220930xex10d16.htm" TargetMode="External"/><Relationship Id="rId47" Type="http://schemas.openxmlformats.org/officeDocument/2006/relationships/hyperlink" Target="https://www.sec.gov/Archives/edgar/data/1837607/000110465922129955/pmgmu-20220930xex16d16a.htm" TargetMode="External"/><Relationship Id="rId48" Type="http://schemas.openxmlformats.org/officeDocument/2006/relationships/hyperlink" Target="https://www.sec.gov/Archives/edgar/data/1837607/000110465923120845/aeon-20230930xex10d18.htm" TargetMode="External"/><Relationship Id="rId49" Type="http://schemas.openxmlformats.org/officeDocument/2006/relationships/hyperlink" Target="https://www.sec.gov/Archives/edgar/data/1837607/000110465923053372/pmgmu-20221231xex10d17.htm" TargetMode="External"/><Relationship Id="rId50" Type="http://schemas.openxmlformats.org/officeDocument/2006/relationships/hyperlink" Target="https://www.sec.gov/Archives/edgar/data/1837607/000110465924089800/tm2421544d2_ex1-2.htm" TargetMode="External"/><Relationship Id="rId51" Type="http://schemas.openxmlformats.org/officeDocument/2006/relationships/hyperlink" Target="https://www.sec.gov/Archives/edgar/data/1837607/000110465925001665/tm2432042d4_ex10-1.htm" TargetMode="External"/><Relationship Id="rId52" Type="http://schemas.openxmlformats.org/officeDocument/2006/relationships/hyperlink" Target="https://www.sec.gov/Archives/edgar/data/1837607/000183760725000030/aeon-20250419xex10.htm" TargetMode="External"/><Relationship Id="rId53" Type="http://schemas.openxmlformats.org/officeDocument/2006/relationships/hyperlink" Target="https://www.sec.gov/Archives/edgar/data/1837607/000183760725000052/aeon-20231109xex99d1.htm" TargetMode="External"/><Relationship Id="rId54" Type="http://schemas.openxmlformats.org/officeDocument/2006/relationships/hyperlink" Target="https://www.sec.gov/Archives/edgar/data/1837607/000183760725000072/aeon-20251112xex10d1.htm" TargetMode="External"/><Relationship Id="rId55" Type="http://schemas.openxmlformats.org/officeDocument/2006/relationships/hyperlink" Target="https://www.sec.gov/Archives/edgar/data/1837607/000183760725000072/aeon-20251112xex10d2.htm" TargetMode="External"/><Relationship Id="rId56" Type="http://schemas.openxmlformats.org/officeDocument/2006/relationships/hyperlink" Target="https://www.sec.gov/Archives/edgar/data/1837607/000183760725000085/aeon-20250930xex10d1.htm" TargetMode="External"/><Relationship Id="rId57" Type="http://schemas.openxmlformats.org/officeDocument/2006/relationships/hyperlink" Target="https://www.sec.gov/Archives/edgar/data/1837607/000183760725000085/aeon-20250930xex10d2.htm" TargetMode="External"/><Relationship Id="rId58" Type="http://schemas.openxmlformats.org/officeDocument/2006/relationships/hyperlink" Target="https://www.sec.gov/Archives/edgar/data/1837607/000183760725000092/aeon-20251215xex10d1.htm" TargetMode="External"/><Relationship Id="rId59" Type="http://schemas.openxmlformats.org/officeDocument/2006/relationships/hyperlink" Target="https://www.sec.gov/Archives/edgar/data/1837607/000183760726000005/aeon-20260121xex10d1.htm" TargetMode="External"/><Relationship Id="rId60" Type="http://schemas.openxmlformats.org/officeDocument/2006/relationships/hyperlink" Target="https://www.sec.gov/Archives/edgar/data/1837607/000110465923053372/pmgmu-20221231xex10d6.htm" TargetMode="External"/><Relationship Id="rId61" Type="http://schemas.openxmlformats.org/officeDocument/2006/relationships/hyperlink" Target="https://www.sec.gov/Archives/edgar/data/1837607/000110465923053372/pmgmu-20221231xex10d7.htm" TargetMode="External"/><Relationship Id="rId62" Type="http://schemas.openxmlformats.org/officeDocument/2006/relationships/hyperlink" Target="https://www.sec.gov/Archives/edgar/data/1837607/000183760726000005/aeon-20260121xex10d2.htm" TargetMode="External"/><Relationship Id="rId63" Type="http://schemas.openxmlformats.org/officeDocument/2006/relationships/hyperlink" Target="https://www.sec.gov/Archives/edgar/data/1837607/000183760726000009/aeon-20260306xex10d1.htm" TargetMode="External"/><Relationship Id="rId64" Type="http://schemas.openxmlformats.org/officeDocument/2006/relationships/hyperlink" Target="https://www.sec.gov/Archives/edgar/data/1837607/000183760726000009/aeon-20260306xex10d2.htm" TargetMode="External"/><Relationship Id="rId65" Type="http://schemas.openxmlformats.org/officeDocument/2006/relationships/hyperlink" Target="https://www.sec.gov/Archives/edgar/data/1837607/000110465923053372/pmgmu-20221231xex10d9.htm" TargetMode="External"/><Relationship Id="rId66" Type="http://schemas.openxmlformats.org/officeDocument/2006/relationships/hyperlink" Target="https://www.sec.gov/Archives/edgar/data/1837607/000110465926081860/tm2615250d4_ex10-31.htm" TargetMode="External"/><Relationship Id="rId67" Type="http://schemas.openxmlformats.org/officeDocument/2006/relationships/hyperlink" Target="https://www.sec.gov/Archives/edgar/data/1837607/000110465926081860/tm2615250d4_ex23-1.htm" TargetMode="External"/><Relationship Id="rId68" Type="http://schemas.openxmlformats.org/officeDocument/2006/relationships/hyperlink" Target="https://www.sec.gov/Archives/edgar/data/1837607/000110465926081860/tm2615250d4_ex5-1.htm" TargetMode="External"/><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3734</Words>
  <Characters>19395</Characters>
  <CharactersWithSpaces>23746</CharactersWithSpaces>
  <Paragraphs>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